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C8D89E" w:rsidR="0049405C" w:rsidRPr="00187BAA" w:rsidRDefault="00AB4248" w:rsidP="00AB4248">
            <w:pPr>
              <w:spacing w:line="720" w:lineRule="auto"/>
              <w:rPr>
                <w:rFonts w:ascii="宋体" w:eastAsia="宋体" w:hAnsi="宋体"/>
                <w:color w:val="545551"/>
              </w:rPr>
            </w:pPr>
            <w:bookmarkStart w:id="0" w:name="xingming"/>
            <w:bookmarkStart w:id="1" w:name="_GoBack"/>
            <w:bookmarkEnd w:id="1"/>
            <w:r w:rsidRPr="00AB4248">
              <w:rPr>
                <w:rFonts w:ascii="宋体" w:eastAsia="宋体" w:hAnsi="Times New Roman" w:hint="eastAsia"/>
                <w:b/>
                <w:color w:val="000000"/>
                <w:sz w:val="48"/>
              </w:rPr>
              <w:t>陆尘</w:t>
            </w:r>
            <w:bookmarkEnd w:id="0"/>
          </w:p>
          <w:p w14:paraId="706EB16B" w14:textId="062B1652" w:rsidR="0049405C" w:rsidRPr="00187BAA" w:rsidRDefault="00AB4248" w:rsidP="00AB4248">
            <w:pPr>
              <w:spacing w:line="360" w:lineRule="auto"/>
              <w:rPr>
                <w:rFonts w:ascii="宋体" w:eastAsia="宋体" w:hAnsi="宋体"/>
                <w:b/>
                <w:bCs/>
                <w:color w:val="545551"/>
              </w:rPr>
            </w:pPr>
            <w:bookmarkStart w:id="2" w:name="didian"/>
            <w:r w:rsidRPr="00AB4248">
              <w:rPr>
                <w:rFonts w:ascii="宋体" w:eastAsia="宋体" w:hAnsi="Times New Roman" w:hint="eastAsia"/>
                <w:b/>
                <w:bCs/>
                <w:color w:val="000000"/>
              </w:rPr>
              <w:t>合伙人·上海</w:t>
            </w:r>
            <w:bookmarkEnd w:id="2"/>
          </w:p>
          <w:p w14:paraId="6199424A" w14:textId="3E03F113" w:rsidR="0049405C" w:rsidRPr="00187BAA" w:rsidRDefault="00AB4248" w:rsidP="00AB4248">
            <w:pPr>
              <w:spacing w:line="360" w:lineRule="auto"/>
              <w:rPr>
                <w:rFonts w:ascii="宋体" w:eastAsia="宋体" w:hAnsi="宋体"/>
                <w:color w:val="545551"/>
              </w:rPr>
            </w:pPr>
            <w:bookmarkStart w:id="3" w:name="dianhua"/>
            <w:r w:rsidRPr="00AB4248">
              <w:rPr>
                <w:rFonts w:ascii="宋体" w:eastAsia="宋体" w:hAnsi="Times New Roman"/>
                <w:color w:val="000000"/>
              </w:rPr>
              <w:t>+86 21 6263 5936</w:t>
            </w:r>
            <w:bookmarkEnd w:id="3"/>
          </w:p>
          <w:p w14:paraId="4F910ACA" w14:textId="384442F7" w:rsidR="0049405C" w:rsidRPr="00187BAA" w:rsidRDefault="00AB4248" w:rsidP="00AB4248">
            <w:pPr>
              <w:spacing w:line="360" w:lineRule="auto"/>
              <w:rPr>
                <w:rFonts w:ascii="宋体" w:eastAsia="宋体" w:hAnsi="宋体"/>
                <w:color w:val="000000"/>
              </w:rPr>
            </w:pPr>
            <w:bookmarkStart w:id="4" w:name="youxiang"/>
            <w:r w:rsidRPr="00AB4248">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BA6308" w:rsidR="0049405C" w:rsidRPr="00187BAA" w:rsidRDefault="00AB424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75F7AE" wp14:editId="79987C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DC9C823" w:rsidR="009465FB" w:rsidRPr="00187BAA" w:rsidRDefault="00AB4248" w:rsidP="007177F3">
            <w:pPr>
              <w:rPr>
                <w:rFonts w:ascii="宋体" w:eastAsia="宋体" w:hAnsi="宋体"/>
                <w:color w:val="000000"/>
                <w:szCs w:val="21"/>
              </w:rPr>
            </w:pPr>
            <w:bookmarkStart w:id="6" w:name="zhiyelingyu"/>
            <w:r w:rsidRPr="00AB4248">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FF6293" w14:textId="77777777" w:rsidR="00AB424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800763" w14:textId="77777777" w:rsidR="00AB4248" w:rsidRDefault="00AB4248" w:rsidP="00AB4248">
      <w:pPr>
        <w:pStyle w:val="af5"/>
        <w:spacing w:after="0" w:line="480" w:lineRule="auto"/>
        <w:rPr>
          <w:rFonts w:ascii="宋体" w:eastAsia="宋体" w:hAnsi="宋体"/>
          <w:b/>
          <w:sz w:val="24"/>
        </w:rPr>
      </w:pPr>
      <w:r w:rsidRPr="00AB4248">
        <w:rPr>
          <w:rFonts w:ascii="宋体" w:eastAsia="宋体" w:hAnsi="宋体" w:hint="eastAsia"/>
          <w:b/>
          <w:sz w:val="24"/>
        </w:rPr>
        <w:t>近期代理的主要案件</w:t>
      </w:r>
    </w:p>
    <w:p w14:paraId="045E498E" w14:textId="77777777" w:rsidR="00AB4248" w:rsidRDefault="00AB4248" w:rsidP="00AB4248">
      <w:pPr>
        <w:pStyle w:val="af5"/>
        <w:spacing w:before="120"/>
        <w:rPr>
          <w:rFonts w:ascii="宋体" w:eastAsia="宋体" w:hAnsi="Times New Roman"/>
          <w:color w:val="000000"/>
        </w:rPr>
      </w:pPr>
      <w:r w:rsidRPr="00AB4248">
        <w:rPr>
          <w:rFonts w:ascii="宋体" w:eastAsia="宋体" w:hAnsi="Times New Roman" w:hint="eastAsia"/>
          <w:color w:val="000000"/>
        </w:rPr>
        <w:t>收购与退出交易</w:t>
      </w:r>
      <w:r w:rsidRPr="00AB4248">
        <w:rPr>
          <w:rFonts w:ascii="宋体" w:eastAsia="宋体" w:hAnsi="Times New Roman"/>
          <w:color w:val="000000"/>
        </w:rPr>
        <w:t>*</w:t>
      </w:r>
    </w:p>
    <w:p w14:paraId="138371A0" w14:textId="77777777" w:rsidR="00AB4248" w:rsidRDefault="00AB4248" w:rsidP="00AB4248">
      <w:pPr>
        <w:pStyle w:val="af5"/>
        <w:numPr>
          <w:ilvl w:val="0"/>
          <w:numId w:val="4"/>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PAG收购先尼科化工(一家有机颜料行业龙头企业)的控股股权；</w:t>
      </w:r>
    </w:p>
    <w:p w14:paraId="15828170" w14:textId="77777777" w:rsidR="00AB4248" w:rsidRDefault="00AB4248" w:rsidP="00AB4248">
      <w:pPr>
        <w:pStyle w:val="af5"/>
        <w:numPr>
          <w:ilvl w:val="0"/>
          <w:numId w:val="5"/>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Kirin(麒麟饮料)出售其在华润怡宝中持有的40%股权；</w:t>
      </w:r>
    </w:p>
    <w:p w14:paraId="3338F353" w14:textId="77777777" w:rsidR="00AB4248" w:rsidRDefault="00AB4248" w:rsidP="00AB4248">
      <w:pPr>
        <w:pStyle w:val="af5"/>
        <w:numPr>
          <w:ilvl w:val="0"/>
          <w:numId w:val="6"/>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ESR就其发展基金出售总值超过58亿元人民币的中国物流资产组合予ESR旗舰人民币核心基金；</w:t>
      </w:r>
    </w:p>
    <w:p w14:paraId="0F38A6B3" w14:textId="77777777" w:rsidR="00AB4248" w:rsidRDefault="00AB4248" w:rsidP="00AB4248">
      <w:pPr>
        <w:pStyle w:val="af5"/>
        <w:numPr>
          <w:ilvl w:val="0"/>
          <w:numId w:val="7"/>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Partners Group参与爱派克斯(Apex)国际物流的投资；</w:t>
      </w:r>
    </w:p>
    <w:p w14:paraId="52C27C29" w14:textId="77777777" w:rsidR="00AB4248" w:rsidRDefault="00AB4248" w:rsidP="00AB4248">
      <w:pPr>
        <w:pStyle w:val="af5"/>
        <w:numPr>
          <w:ilvl w:val="0"/>
          <w:numId w:val="8"/>
        </w:numPr>
        <w:spacing w:before="120"/>
        <w:ind w:left="690" w:hanging="240"/>
        <w:rPr>
          <w:rFonts w:ascii="宋体" w:eastAsia="宋体" w:hAnsi="Times New Roman"/>
          <w:color w:val="000000"/>
        </w:rPr>
      </w:pPr>
      <w:r w:rsidRPr="00AB4248">
        <w:rPr>
          <w:rFonts w:ascii="宋体" w:eastAsia="宋体" w:hAnsi="Times New Roman" w:hint="eastAsia"/>
          <w:color w:val="000000"/>
        </w:rPr>
        <w:t>代表新加坡基金</w:t>
      </w:r>
      <w:r w:rsidRPr="00AB4248">
        <w:rPr>
          <w:rFonts w:ascii="宋体" w:eastAsia="宋体" w:hAnsi="Times New Roman"/>
          <w:color w:val="000000"/>
        </w:rPr>
        <w:t>Novo Tellus及65 Equity Partners，收购其对通达集团(00698.HK)精密零部件业务；</w:t>
      </w:r>
    </w:p>
    <w:p w14:paraId="7F945201" w14:textId="77777777" w:rsidR="00AB4248" w:rsidRDefault="00AB4248" w:rsidP="00AB4248">
      <w:pPr>
        <w:pStyle w:val="af5"/>
        <w:numPr>
          <w:ilvl w:val="0"/>
          <w:numId w:val="9"/>
        </w:numPr>
        <w:spacing w:before="120"/>
        <w:ind w:left="690" w:hanging="240"/>
        <w:rPr>
          <w:rFonts w:ascii="宋体" w:eastAsia="宋体" w:hAnsi="Times New Roman"/>
          <w:color w:val="000000"/>
        </w:rPr>
      </w:pPr>
      <w:r w:rsidRPr="00AB4248">
        <w:rPr>
          <w:rFonts w:ascii="宋体" w:eastAsia="宋体" w:hAnsi="Times New Roman" w:hint="eastAsia"/>
          <w:color w:val="000000"/>
        </w:rPr>
        <w:t>代表光明食品集团就其收购</w:t>
      </w:r>
      <w:r w:rsidRPr="00AB4248">
        <w:rPr>
          <w:rFonts w:ascii="宋体" w:eastAsia="宋体" w:hAnsi="Times New Roman"/>
          <w:color w:val="000000"/>
        </w:rPr>
        <w:t>Salov集团(意大利橄榄油巨头企业)90%股权；</w:t>
      </w:r>
    </w:p>
    <w:p w14:paraId="515D466F" w14:textId="77777777" w:rsidR="00AB4248" w:rsidRDefault="00AB4248" w:rsidP="00AB4248">
      <w:pPr>
        <w:pStyle w:val="af5"/>
        <w:numPr>
          <w:ilvl w:val="0"/>
          <w:numId w:val="10"/>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Clearlake Capital Group就其与Unifrax(一家跨国特种材料企业)的合并中涉及中国法律的相关事务(其中涉及一家A股上市公司信息报送义务)；</w:t>
      </w:r>
    </w:p>
    <w:p w14:paraId="4480EF48" w14:textId="77777777" w:rsidR="00AB4248" w:rsidRDefault="00AB4248" w:rsidP="00AB4248">
      <w:pPr>
        <w:pStyle w:val="af5"/>
        <w:numPr>
          <w:ilvl w:val="0"/>
          <w:numId w:val="11"/>
        </w:numPr>
        <w:spacing w:before="120"/>
        <w:ind w:left="690" w:hanging="240"/>
        <w:rPr>
          <w:rFonts w:ascii="宋体" w:eastAsia="宋体" w:hAnsi="Times New Roman"/>
          <w:color w:val="000000"/>
        </w:rPr>
      </w:pPr>
      <w:r w:rsidRPr="00AB4248">
        <w:rPr>
          <w:rFonts w:ascii="宋体" w:eastAsia="宋体" w:hAnsi="Times New Roman" w:hint="eastAsia"/>
          <w:color w:val="000000"/>
        </w:rPr>
        <w:t>代表京东与达达涉及</w:t>
      </w:r>
      <w:r w:rsidRPr="00AB4248">
        <w:rPr>
          <w:rFonts w:ascii="宋体" w:eastAsia="宋体" w:hAnsi="Times New Roman"/>
          <w:color w:val="000000"/>
        </w:rPr>
        <w:t>O2O业务的合并交易；</w:t>
      </w:r>
    </w:p>
    <w:p w14:paraId="3E864DDD" w14:textId="77777777" w:rsidR="00AB4248" w:rsidRDefault="00AB4248" w:rsidP="00AB4248">
      <w:pPr>
        <w:pStyle w:val="af5"/>
        <w:numPr>
          <w:ilvl w:val="0"/>
          <w:numId w:val="12"/>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Lactalis就其收购中国境内一家乳制品公司95%股权；</w:t>
      </w:r>
    </w:p>
    <w:p w14:paraId="586EAB5F" w14:textId="77777777" w:rsidR="00AB4248" w:rsidRDefault="00AB4248" w:rsidP="00AB4248">
      <w:pPr>
        <w:pStyle w:val="af5"/>
        <w:numPr>
          <w:ilvl w:val="0"/>
          <w:numId w:val="13"/>
        </w:numPr>
        <w:spacing w:before="120"/>
        <w:ind w:left="690" w:hanging="240"/>
        <w:rPr>
          <w:rFonts w:ascii="宋体" w:eastAsia="宋体" w:hAnsi="Times New Roman"/>
          <w:color w:val="000000"/>
        </w:rPr>
      </w:pPr>
      <w:r w:rsidRPr="00AB4248">
        <w:rPr>
          <w:rFonts w:ascii="宋体" w:eastAsia="宋体" w:hAnsi="Times New Roman" w:hint="eastAsia"/>
          <w:color w:val="000000"/>
        </w:rPr>
        <w:t>代表文思海辉就其金额为</w:t>
      </w:r>
      <w:r w:rsidRPr="00AB4248">
        <w:rPr>
          <w:rFonts w:ascii="宋体" w:eastAsia="宋体" w:hAnsi="Times New Roman"/>
          <w:color w:val="000000"/>
        </w:rPr>
        <w:t>6.25亿美元的私有化交易(收购方包括黑石基金)；</w:t>
      </w:r>
    </w:p>
    <w:p w14:paraId="2B1A1019" w14:textId="77777777" w:rsidR="00AB4248" w:rsidRDefault="00AB4248" w:rsidP="00AB4248">
      <w:pPr>
        <w:pStyle w:val="af5"/>
        <w:numPr>
          <w:ilvl w:val="0"/>
          <w:numId w:val="14"/>
        </w:numPr>
        <w:spacing w:before="120"/>
        <w:ind w:left="690" w:hanging="240"/>
        <w:rPr>
          <w:rFonts w:ascii="宋体" w:eastAsia="宋体" w:hAnsi="Times New Roman"/>
          <w:color w:val="000000"/>
        </w:rPr>
      </w:pPr>
      <w:r w:rsidRPr="00AB4248">
        <w:rPr>
          <w:rFonts w:ascii="宋体" w:eastAsia="宋体" w:hAnsi="Times New Roman" w:hint="eastAsia"/>
          <w:color w:val="000000"/>
        </w:rPr>
        <w:t>代表完美世界就其金额为</w:t>
      </w:r>
      <w:r w:rsidRPr="00AB4248">
        <w:rPr>
          <w:rFonts w:ascii="宋体" w:eastAsia="宋体" w:hAnsi="Times New Roman"/>
          <w:color w:val="000000"/>
        </w:rPr>
        <w:t>1亿美元的收购Shanda Games相关普通股的交易，以及金额为1.05亿美元的后续退出交易；</w:t>
      </w:r>
    </w:p>
    <w:p w14:paraId="195BD425" w14:textId="77777777" w:rsidR="00AB4248" w:rsidRDefault="00AB4248" w:rsidP="00AB4248">
      <w:pPr>
        <w:pStyle w:val="af5"/>
        <w:numPr>
          <w:ilvl w:val="0"/>
          <w:numId w:val="15"/>
        </w:numPr>
        <w:spacing w:before="120"/>
        <w:ind w:left="690" w:hanging="240"/>
        <w:rPr>
          <w:rFonts w:ascii="宋体" w:eastAsia="宋体" w:hAnsi="Times New Roman"/>
          <w:color w:val="000000"/>
        </w:rPr>
      </w:pPr>
      <w:r w:rsidRPr="00AB4248">
        <w:rPr>
          <w:rFonts w:ascii="宋体" w:eastAsia="宋体" w:hAnsi="Times New Roman" w:hint="eastAsia"/>
          <w:color w:val="000000"/>
        </w:rPr>
        <w:t>代表聚胜万合就其向奇虎</w:t>
      </w:r>
      <w:r w:rsidRPr="00AB4248">
        <w:rPr>
          <w:rFonts w:ascii="宋体" w:eastAsia="宋体" w:hAnsi="Times New Roman"/>
          <w:color w:val="000000"/>
        </w:rPr>
        <w:t>360出售控股权的交易;</w:t>
      </w:r>
    </w:p>
    <w:p w14:paraId="62CBA726" w14:textId="77777777" w:rsidR="00AB4248" w:rsidRDefault="00AB4248" w:rsidP="00AB4248">
      <w:pPr>
        <w:pStyle w:val="af5"/>
        <w:numPr>
          <w:ilvl w:val="0"/>
          <w:numId w:val="16"/>
        </w:numPr>
        <w:spacing w:before="120"/>
        <w:ind w:left="690" w:hanging="240"/>
        <w:rPr>
          <w:rFonts w:ascii="宋体" w:eastAsia="宋体" w:hAnsi="Times New Roman"/>
          <w:color w:val="000000"/>
        </w:rPr>
      </w:pPr>
      <w:r w:rsidRPr="00AB4248">
        <w:rPr>
          <w:rFonts w:ascii="宋体" w:eastAsia="宋体" w:hAnsi="Times New Roman" w:hint="eastAsia"/>
          <w:color w:val="000000"/>
        </w:rPr>
        <w:t>代表聚胜万合就其向上海漫酷广告出售</w:t>
      </w:r>
      <w:r w:rsidRPr="00AB4248">
        <w:rPr>
          <w:rFonts w:ascii="宋体" w:eastAsia="宋体" w:hAnsi="Times New Roman"/>
          <w:color w:val="000000"/>
        </w:rPr>
        <w:t>85%股权的交易；</w:t>
      </w:r>
    </w:p>
    <w:p w14:paraId="135D5841" w14:textId="77777777" w:rsidR="00AB4248" w:rsidRDefault="00AB4248" w:rsidP="00AB4248">
      <w:pPr>
        <w:pStyle w:val="af5"/>
        <w:numPr>
          <w:ilvl w:val="0"/>
          <w:numId w:val="17"/>
        </w:numPr>
        <w:spacing w:before="120"/>
        <w:ind w:left="690" w:hanging="240"/>
        <w:rPr>
          <w:rFonts w:ascii="宋体" w:eastAsia="宋体" w:hAnsi="Times New Roman"/>
          <w:color w:val="000000"/>
        </w:rPr>
      </w:pPr>
      <w:r w:rsidRPr="00AB4248">
        <w:rPr>
          <w:rFonts w:ascii="宋体" w:eastAsia="宋体" w:hAnsi="Times New Roman" w:hint="eastAsia"/>
          <w:color w:val="000000"/>
        </w:rPr>
        <w:t>代表浙江嘉源房地产集团有限公司就其从</w:t>
      </w:r>
      <w:r w:rsidRPr="00AB4248">
        <w:rPr>
          <w:rFonts w:ascii="宋体" w:eastAsia="宋体" w:hAnsi="Times New Roman"/>
          <w:color w:val="000000"/>
        </w:rPr>
        <w:t xml:space="preserve"> Best Buy Co., Inc.处收购江苏五星电器有限公司的股份；</w:t>
      </w:r>
    </w:p>
    <w:p w14:paraId="474EF16F" w14:textId="77777777" w:rsidR="00AB4248" w:rsidRDefault="00AB4248" w:rsidP="00AB4248">
      <w:pPr>
        <w:pStyle w:val="af5"/>
        <w:numPr>
          <w:ilvl w:val="0"/>
          <w:numId w:val="18"/>
        </w:numPr>
        <w:spacing w:before="120"/>
        <w:ind w:left="690" w:hanging="240"/>
        <w:rPr>
          <w:rFonts w:ascii="宋体" w:eastAsia="宋体" w:hAnsi="Times New Roman"/>
          <w:color w:val="000000"/>
        </w:rPr>
      </w:pPr>
      <w:r w:rsidRPr="00AB4248">
        <w:rPr>
          <w:rFonts w:ascii="宋体" w:eastAsia="宋体" w:hAnsi="Times New Roman" w:hint="eastAsia"/>
          <w:color w:val="000000"/>
        </w:rPr>
        <w:t>代表文思科技与海辉科技的合并交易</w:t>
      </w:r>
      <w:r w:rsidRPr="00AB4248">
        <w:rPr>
          <w:rFonts w:ascii="宋体" w:eastAsia="宋体" w:hAnsi="Times New Roman"/>
          <w:color w:val="000000"/>
        </w:rPr>
        <w:t>(金额为8.75亿美元)；</w:t>
      </w:r>
    </w:p>
    <w:p w14:paraId="5517DBF2" w14:textId="77777777" w:rsidR="00AB4248" w:rsidRDefault="00AB4248" w:rsidP="00AB4248">
      <w:pPr>
        <w:pStyle w:val="af5"/>
        <w:numPr>
          <w:ilvl w:val="0"/>
          <w:numId w:val="19"/>
        </w:numPr>
        <w:spacing w:before="120"/>
        <w:ind w:left="690" w:hanging="240"/>
        <w:rPr>
          <w:rFonts w:ascii="宋体" w:eastAsia="宋体" w:hAnsi="Times New Roman"/>
          <w:color w:val="000000"/>
        </w:rPr>
      </w:pPr>
      <w:r w:rsidRPr="00AB4248">
        <w:rPr>
          <w:rFonts w:ascii="宋体" w:eastAsia="宋体" w:hAnsi="Times New Roman" w:hint="eastAsia"/>
          <w:color w:val="000000"/>
        </w:rPr>
        <w:t>代表久邦数码的董事长和首席执行官</w:t>
      </w:r>
      <w:r w:rsidRPr="00AB4248">
        <w:rPr>
          <w:rFonts w:ascii="宋体" w:eastAsia="宋体" w:hAnsi="Times New Roman"/>
          <w:color w:val="000000"/>
        </w:rPr>
        <w:t>(邓裕强先生)及其所成立的买方团体就其金额为1.55亿美元的私有化项目；</w:t>
      </w:r>
    </w:p>
    <w:p w14:paraId="28FA9095" w14:textId="77777777" w:rsidR="00AB4248" w:rsidRDefault="00AB4248" w:rsidP="00AB4248">
      <w:pPr>
        <w:pStyle w:val="af5"/>
        <w:numPr>
          <w:ilvl w:val="0"/>
          <w:numId w:val="20"/>
        </w:numPr>
        <w:spacing w:before="120"/>
        <w:ind w:left="690" w:hanging="240"/>
        <w:rPr>
          <w:rFonts w:ascii="宋体" w:eastAsia="宋体" w:hAnsi="Times New Roman"/>
          <w:color w:val="000000"/>
        </w:rPr>
      </w:pPr>
      <w:r w:rsidRPr="00AB4248">
        <w:rPr>
          <w:rFonts w:ascii="宋体" w:eastAsia="宋体" w:hAnsi="Times New Roman" w:hint="eastAsia"/>
          <w:color w:val="000000"/>
        </w:rPr>
        <w:t>代表上海大黄蜂科技就其向快的打车出售全部股份的交易；</w:t>
      </w:r>
    </w:p>
    <w:p w14:paraId="6953576A" w14:textId="77777777" w:rsidR="00AB4248" w:rsidRDefault="00AB4248" w:rsidP="00AB4248">
      <w:pPr>
        <w:pStyle w:val="af5"/>
        <w:spacing w:before="120"/>
        <w:rPr>
          <w:rFonts w:ascii="宋体" w:eastAsia="宋体" w:hAnsi="Times New Roman"/>
          <w:color w:val="000000"/>
        </w:rPr>
      </w:pPr>
      <w:r w:rsidRPr="00AB4248">
        <w:rPr>
          <w:rFonts w:ascii="宋体" w:eastAsia="宋体" w:hAnsi="Times New Roman" w:hint="eastAsia"/>
          <w:color w:val="000000"/>
        </w:rPr>
        <w:t>其他代表性交易</w:t>
      </w:r>
      <w:r w:rsidRPr="00AB4248">
        <w:rPr>
          <w:rFonts w:ascii="宋体" w:eastAsia="宋体" w:hAnsi="Times New Roman"/>
          <w:color w:val="000000"/>
        </w:rPr>
        <w:t>*</w:t>
      </w:r>
    </w:p>
    <w:p w14:paraId="50FBE767" w14:textId="77777777" w:rsidR="00AB4248" w:rsidRDefault="00AB4248" w:rsidP="00AB4248">
      <w:pPr>
        <w:pStyle w:val="af5"/>
        <w:numPr>
          <w:ilvl w:val="0"/>
          <w:numId w:val="21"/>
        </w:numPr>
        <w:spacing w:before="120"/>
        <w:ind w:left="690" w:hanging="240"/>
        <w:rPr>
          <w:rFonts w:ascii="宋体" w:eastAsia="宋体" w:hAnsi="Times New Roman"/>
          <w:color w:val="000000"/>
        </w:rPr>
      </w:pPr>
      <w:r w:rsidRPr="00AB4248">
        <w:rPr>
          <w:rFonts w:ascii="宋体" w:eastAsia="宋体" w:hAnsi="Times New Roman" w:hint="eastAsia"/>
          <w:color w:val="000000"/>
        </w:rPr>
        <w:t>作为公司中国律师，代表晶泰科技在香港联合交易所主板挂牌上市（本次上市是首宗根据香港上市第</w:t>
      </w:r>
      <w:r w:rsidRPr="00AB4248">
        <w:rPr>
          <w:rFonts w:ascii="宋体" w:eastAsia="宋体" w:hAnsi="Times New Roman"/>
          <w:color w:val="000000"/>
        </w:rPr>
        <w:t>18C章特专科技公司规则完成的上市项目）；</w:t>
      </w:r>
    </w:p>
    <w:p w14:paraId="0A7013B2" w14:textId="77777777" w:rsidR="00AB4248" w:rsidRDefault="00AB4248" w:rsidP="00AB4248">
      <w:pPr>
        <w:pStyle w:val="af5"/>
        <w:numPr>
          <w:ilvl w:val="0"/>
          <w:numId w:val="22"/>
        </w:numPr>
        <w:spacing w:before="120"/>
        <w:ind w:left="690" w:hanging="240"/>
        <w:rPr>
          <w:rFonts w:ascii="宋体" w:eastAsia="宋体" w:hAnsi="Times New Roman"/>
          <w:color w:val="000000"/>
        </w:rPr>
      </w:pPr>
      <w:r w:rsidRPr="00AB4248">
        <w:rPr>
          <w:rFonts w:ascii="宋体" w:eastAsia="宋体" w:hAnsi="Times New Roman" w:hint="eastAsia"/>
          <w:color w:val="000000"/>
        </w:rPr>
        <w:t>作为公司中国律师，代表晶泰科技完成两次新股配售；</w:t>
      </w:r>
    </w:p>
    <w:p w14:paraId="1DA0F144" w14:textId="77777777" w:rsidR="00AB4248" w:rsidRDefault="00AB4248" w:rsidP="00AB4248">
      <w:pPr>
        <w:pStyle w:val="af5"/>
        <w:numPr>
          <w:ilvl w:val="0"/>
          <w:numId w:val="23"/>
        </w:numPr>
        <w:spacing w:before="120"/>
        <w:ind w:left="690" w:hanging="240"/>
        <w:rPr>
          <w:rFonts w:ascii="宋体" w:eastAsia="宋体" w:hAnsi="Times New Roman"/>
          <w:color w:val="000000"/>
        </w:rPr>
      </w:pPr>
      <w:r w:rsidRPr="00AB4248">
        <w:rPr>
          <w:rFonts w:ascii="宋体" w:eastAsia="宋体" w:hAnsi="Times New Roman" w:hint="eastAsia"/>
          <w:color w:val="000000"/>
        </w:rPr>
        <w:t>代表晶泰科技与实验药物开发中心（一家新加坡政府支持的研究机构）和</w:t>
      </w:r>
      <w:r w:rsidRPr="00AB4248">
        <w:rPr>
          <w:rFonts w:ascii="宋体" w:eastAsia="宋体" w:hAnsi="Times New Roman"/>
          <w:color w:val="000000"/>
        </w:rPr>
        <w:t>CK生命科学发展有限公司（一家香港上市公司）合作，CK生命科学发展有限公司专注于保健品和医药产品的开发和销售；</w:t>
      </w:r>
    </w:p>
    <w:p w14:paraId="5AA00E4A" w14:textId="77777777" w:rsidR="00AB4248" w:rsidRDefault="00AB4248" w:rsidP="00AB4248">
      <w:pPr>
        <w:pStyle w:val="af5"/>
        <w:numPr>
          <w:ilvl w:val="0"/>
          <w:numId w:val="24"/>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AB4248">
        <w:rPr>
          <w:rFonts w:ascii="宋体" w:eastAsia="宋体" w:hAnsi="Times New Roman"/>
          <w:color w:val="000000"/>
        </w:rPr>
        <w:t>®</w:t>
      </w:r>
      <w:r w:rsidRPr="00AB4248">
        <w:rPr>
          <w:rFonts w:ascii="宋体" w:eastAsia="宋体" w:hAnsi="Times New Roman"/>
          <w:color w:val="000000"/>
        </w:rPr>
        <w:t>优通公司的战略性融资；</w:t>
      </w:r>
    </w:p>
    <w:p w14:paraId="438C8E83" w14:textId="77777777" w:rsidR="00AB4248" w:rsidRDefault="00AB4248" w:rsidP="00AB4248">
      <w:pPr>
        <w:pStyle w:val="af5"/>
        <w:numPr>
          <w:ilvl w:val="0"/>
          <w:numId w:val="25"/>
        </w:numPr>
        <w:spacing w:before="120"/>
        <w:ind w:left="690" w:hanging="240"/>
        <w:rPr>
          <w:rFonts w:ascii="宋体" w:eastAsia="宋体" w:hAnsi="Times New Roman"/>
          <w:color w:val="000000"/>
        </w:rPr>
      </w:pPr>
      <w:r w:rsidRPr="00AB4248">
        <w:rPr>
          <w:rFonts w:ascii="宋体" w:eastAsia="宋体" w:hAnsi="Times New Roman" w:hint="eastAsia"/>
          <w:color w:val="000000"/>
        </w:rPr>
        <w:t>代表镁信</w:t>
      </w:r>
      <w:r w:rsidRPr="00AB4248">
        <w:rPr>
          <w:rFonts w:ascii="宋体" w:eastAsia="宋体" w:hAnsi="Times New Roman"/>
          <w:color w:val="000000"/>
        </w:rPr>
        <w:t>(一家创新型医疗健康服务平台)就其金额为20亿元人民币的融资交易；</w:t>
      </w:r>
    </w:p>
    <w:p w14:paraId="4CB31222" w14:textId="77777777" w:rsidR="00AB4248" w:rsidRDefault="00AB4248" w:rsidP="00AB4248">
      <w:pPr>
        <w:pStyle w:val="af5"/>
        <w:numPr>
          <w:ilvl w:val="0"/>
          <w:numId w:val="26"/>
        </w:numPr>
        <w:spacing w:before="120"/>
        <w:ind w:left="690" w:hanging="240"/>
        <w:rPr>
          <w:rFonts w:ascii="宋体" w:eastAsia="宋体" w:hAnsi="Times New Roman"/>
          <w:color w:val="000000"/>
        </w:rPr>
      </w:pPr>
      <w:r w:rsidRPr="00AB4248">
        <w:rPr>
          <w:rFonts w:ascii="宋体" w:eastAsia="宋体" w:hAnsi="Times New Roman" w:hint="eastAsia"/>
          <w:color w:val="000000"/>
        </w:rPr>
        <w:t>代表阿斯利康</w:t>
      </w:r>
      <w:r w:rsidRPr="00AB4248">
        <w:rPr>
          <w:rFonts w:ascii="宋体" w:eastAsia="宋体" w:hAnsi="Times New Roman"/>
          <w:color w:val="000000"/>
        </w:rPr>
        <w:t>-中金对从事CRO(实验动物)业务的ZSHK实验室有限公司进行B轮股权投资；</w:t>
      </w:r>
    </w:p>
    <w:p w14:paraId="0FBD795A" w14:textId="77777777" w:rsidR="00AB4248" w:rsidRDefault="00AB4248" w:rsidP="00AB4248">
      <w:pPr>
        <w:pStyle w:val="af5"/>
        <w:numPr>
          <w:ilvl w:val="0"/>
          <w:numId w:val="27"/>
        </w:numPr>
        <w:spacing w:before="120"/>
        <w:ind w:left="690" w:hanging="240"/>
        <w:rPr>
          <w:rFonts w:ascii="宋体" w:eastAsia="宋体" w:hAnsi="Times New Roman"/>
          <w:color w:val="000000"/>
        </w:rPr>
      </w:pPr>
      <w:r w:rsidRPr="00AB4248">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AB4248">
        <w:rPr>
          <w:rFonts w:ascii="宋体" w:eastAsia="宋体" w:hAnsi="Times New Roman"/>
          <w:color w:val="000000"/>
        </w:rPr>
        <w:t>(交易总额达人民币7.2亿元)；</w:t>
      </w:r>
    </w:p>
    <w:p w14:paraId="06809C9D" w14:textId="77777777" w:rsidR="00AB4248" w:rsidRDefault="00AB4248" w:rsidP="00AB4248">
      <w:pPr>
        <w:pStyle w:val="af5"/>
        <w:numPr>
          <w:ilvl w:val="0"/>
          <w:numId w:val="28"/>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PAG参与收购万达商管的10%股权，并代表太盟资本参与其所牵头的财团投资珠海万达商管的后续交易；</w:t>
      </w:r>
    </w:p>
    <w:p w14:paraId="78F9B6C2" w14:textId="77777777" w:rsidR="00AB4248" w:rsidRDefault="00AB4248" w:rsidP="00AB4248">
      <w:pPr>
        <w:pStyle w:val="af5"/>
        <w:numPr>
          <w:ilvl w:val="0"/>
          <w:numId w:val="29"/>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TPG参与上海爱科百发生物医药技术有限公司的D轮股权投资；</w:t>
      </w:r>
    </w:p>
    <w:p w14:paraId="663D578B" w14:textId="77777777" w:rsidR="00AB4248" w:rsidRDefault="00AB4248" w:rsidP="00AB4248">
      <w:pPr>
        <w:pStyle w:val="af5"/>
        <w:numPr>
          <w:ilvl w:val="0"/>
          <w:numId w:val="30"/>
        </w:numPr>
        <w:spacing w:before="120"/>
        <w:ind w:left="690" w:hanging="240"/>
        <w:rPr>
          <w:rFonts w:ascii="宋体" w:eastAsia="宋体" w:hAnsi="Times New Roman"/>
          <w:color w:val="000000"/>
        </w:rPr>
      </w:pPr>
      <w:r w:rsidRPr="00AB4248">
        <w:rPr>
          <w:rFonts w:ascii="宋体" w:eastAsia="宋体" w:hAnsi="Times New Roman" w:hint="eastAsia"/>
          <w:color w:val="000000"/>
        </w:rPr>
        <w:t>代表云锋参与其向滴滴货运的</w:t>
      </w:r>
      <w:r w:rsidRPr="00AB4248">
        <w:rPr>
          <w:rFonts w:ascii="宋体" w:eastAsia="宋体" w:hAnsi="Times New Roman"/>
          <w:color w:val="000000"/>
        </w:rPr>
        <w:t>A轮投资；</w:t>
      </w:r>
    </w:p>
    <w:p w14:paraId="598E0580" w14:textId="77777777" w:rsidR="00AB4248" w:rsidRDefault="00AB4248" w:rsidP="00AB4248">
      <w:pPr>
        <w:pStyle w:val="af5"/>
        <w:numPr>
          <w:ilvl w:val="0"/>
          <w:numId w:val="31"/>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IDG就其向一家从事比特币相关业务(Quoine Corporation)的日本公司投资及其后续出售在Quoine Corporation中的全部股权；</w:t>
      </w:r>
    </w:p>
    <w:p w14:paraId="47D99465" w14:textId="77777777" w:rsidR="00AB4248" w:rsidRDefault="00AB4248" w:rsidP="00AB4248">
      <w:pPr>
        <w:pStyle w:val="af5"/>
        <w:numPr>
          <w:ilvl w:val="0"/>
          <w:numId w:val="32"/>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Aptar就其投资美妆公司言安堂的融资交易；</w:t>
      </w:r>
    </w:p>
    <w:p w14:paraId="4751AA5D" w14:textId="77777777" w:rsidR="00AB4248" w:rsidRDefault="00AB4248" w:rsidP="00AB4248">
      <w:pPr>
        <w:pStyle w:val="af5"/>
        <w:numPr>
          <w:ilvl w:val="0"/>
          <w:numId w:val="33"/>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GGV参与其投资的北京极智嘉科技有限公司的跨境重组；</w:t>
      </w:r>
    </w:p>
    <w:p w14:paraId="0FC88DB4" w14:textId="77777777" w:rsidR="00AB4248" w:rsidRDefault="00AB4248" w:rsidP="00AB4248">
      <w:pPr>
        <w:pStyle w:val="af5"/>
        <w:numPr>
          <w:ilvl w:val="0"/>
          <w:numId w:val="34"/>
        </w:numPr>
        <w:spacing w:before="120"/>
        <w:ind w:left="690" w:hanging="240"/>
        <w:rPr>
          <w:rFonts w:ascii="宋体" w:eastAsia="宋体" w:hAnsi="Times New Roman"/>
          <w:color w:val="000000"/>
        </w:rPr>
      </w:pPr>
      <w:r w:rsidRPr="00AB4248">
        <w:rPr>
          <w:rFonts w:ascii="宋体" w:eastAsia="宋体" w:hAnsi="Times New Roman" w:hint="eastAsia"/>
          <w:color w:val="000000"/>
        </w:rPr>
        <w:t>代表京东与沃尔玛的战略合作；</w:t>
      </w:r>
    </w:p>
    <w:p w14:paraId="0D431AC2" w14:textId="77777777" w:rsidR="00AB4248" w:rsidRDefault="00AB4248" w:rsidP="00AB4248">
      <w:pPr>
        <w:pStyle w:val="af5"/>
        <w:numPr>
          <w:ilvl w:val="0"/>
          <w:numId w:val="35"/>
        </w:numPr>
        <w:spacing w:before="120"/>
        <w:ind w:left="690" w:hanging="240"/>
        <w:rPr>
          <w:rFonts w:ascii="宋体" w:eastAsia="宋体" w:hAnsi="Times New Roman"/>
          <w:color w:val="000000"/>
        </w:rPr>
      </w:pPr>
      <w:r w:rsidRPr="00AB4248">
        <w:rPr>
          <w:rFonts w:ascii="宋体" w:eastAsia="宋体" w:hAnsi="Times New Roman" w:hint="eastAsia"/>
          <w:color w:val="000000"/>
        </w:rPr>
        <w:t>代表京东物流金额为</w:t>
      </w:r>
      <w:r w:rsidRPr="00AB4248">
        <w:rPr>
          <w:rFonts w:ascii="宋体" w:eastAsia="宋体" w:hAnsi="Times New Roman"/>
          <w:color w:val="000000"/>
        </w:rPr>
        <w:t>25亿美元的融资交易(投资方包括多家知名投资机构)；</w:t>
      </w:r>
    </w:p>
    <w:p w14:paraId="7762CD93" w14:textId="77777777" w:rsidR="00AB4248" w:rsidRDefault="00AB4248" w:rsidP="00AB4248">
      <w:pPr>
        <w:pStyle w:val="af5"/>
        <w:numPr>
          <w:ilvl w:val="0"/>
          <w:numId w:val="36"/>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China Media Capital就其多宗在中国境内的传媒和娱乐行业的投融资交易(包括China Media Capital对B站的D轮投资)；</w:t>
      </w:r>
    </w:p>
    <w:p w14:paraId="45B29E6C" w14:textId="77777777" w:rsidR="00AB4248" w:rsidRDefault="00AB4248" w:rsidP="00AB4248">
      <w:pPr>
        <w:pStyle w:val="af5"/>
        <w:numPr>
          <w:ilvl w:val="0"/>
          <w:numId w:val="37"/>
        </w:numPr>
        <w:spacing w:before="120"/>
        <w:ind w:left="690" w:hanging="240"/>
        <w:rPr>
          <w:rFonts w:ascii="宋体" w:eastAsia="宋体" w:hAnsi="Times New Roman"/>
          <w:color w:val="000000"/>
        </w:rPr>
      </w:pPr>
      <w:r w:rsidRPr="00AB4248">
        <w:rPr>
          <w:rFonts w:ascii="宋体" w:eastAsia="宋体" w:hAnsi="Times New Roman" w:hint="eastAsia"/>
          <w:color w:val="000000"/>
        </w:rPr>
        <w:t>代表一家著名产业基金，就其跨境重组和收购一家美国的玩具生产商的交易；</w:t>
      </w:r>
    </w:p>
    <w:p w14:paraId="6078AAA9" w14:textId="77777777" w:rsidR="00AB4248" w:rsidRDefault="00AB4248" w:rsidP="00AB4248">
      <w:pPr>
        <w:pStyle w:val="af5"/>
        <w:numPr>
          <w:ilvl w:val="0"/>
          <w:numId w:val="38"/>
        </w:numPr>
        <w:spacing w:before="120"/>
        <w:ind w:left="690" w:hanging="240"/>
        <w:rPr>
          <w:rFonts w:ascii="宋体" w:eastAsia="宋体" w:hAnsi="Times New Roman"/>
          <w:color w:val="000000"/>
        </w:rPr>
      </w:pPr>
      <w:r w:rsidRPr="00AB4248">
        <w:rPr>
          <w:rFonts w:ascii="宋体" w:eastAsia="宋体" w:hAnsi="Times New Roman" w:hint="eastAsia"/>
          <w:color w:val="000000"/>
        </w:rPr>
        <w:t>代表一家知名体育营销公司，就其向一家专营</w:t>
      </w:r>
      <w:r w:rsidRPr="00AB4248">
        <w:rPr>
          <w:rFonts w:ascii="宋体" w:eastAsia="宋体" w:hAnsi="Times New Roman"/>
          <w:color w:val="000000"/>
        </w:rPr>
        <w:t>Formula E组织和运营的机构少数股权投资的交易；</w:t>
      </w:r>
    </w:p>
    <w:p w14:paraId="08F8A745" w14:textId="77777777" w:rsidR="00AB4248" w:rsidRDefault="00AB4248" w:rsidP="00AB4248">
      <w:pPr>
        <w:pStyle w:val="af5"/>
        <w:numPr>
          <w:ilvl w:val="0"/>
          <w:numId w:val="39"/>
        </w:numPr>
        <w:spacing w:before="120"/>
        <w:ind w:left="690" w:hanging="240"/>
        <w:rPr>
          <w:rFonts w:ascii="宋体" w:eastAsia="宋体" w:hAnsi="Times New Roman"/>
          <w:color w:val="000000"/>
        </w:rPr>
      </w:pPr>
      <w:r w:rsidRPr="00AB4248">
        <w:rPr>
          <w:rFonts w:ascii="宋体" w:eastAsia="宋体" w:hAnsi="Times New Roman" w:hint="eastAsia"/>
          <w:color w:val="000000"/>
        </w:rPr>
        <w:t>代表一家著名产业基金，就其向一家蔬菜物流公司投资的私募融资交易；</w:t>
      </w:r>
    </w:p>
    <w:p w14:paraId="1A8598AA" w14:textId="77777777" w:rsidR="00AB4248" w:rsidRDefault="00AB4248" w:rsidP="00AB4248">
      <w:pPr>
        <w:pStyle w:val="af5"/>
        <w:numPr>
          <w:ilvl w:val="0"/>
          <w:numId w:val="40"/>
        </w:numPr>
        <w:spacing w:before="120"/>
        <w:ind w:left="690" w:hanging="240"/>
        <w:rPr>
          <w:rFonts w:ascii="宋体" w:eastAsia="宋体" w:hAnsi="Times New Roman"/>
          <w:color w:val="000000"/>
        </w:rPr>
      </w:pPr>
      <w:r w:rsidRPr="00AB4248">
        <w:rPr>
          <w:rFonts w:ascii="宋体" w:eastAsia="宋体" w:hAnsi="Times New Roman" w:hint="eastAsia"/>
          <w:color w:val="000000"/>
        </w:rPr>
        <w:t>代表恒瑞新能源有限公司就其收购</w:t>
      </w:r>
      <w:r w:rsidRPr="00AB4248">
        <w:rPr>
          <w:rFonts w:ascii="宋体" w:eastAsia="宋体" w:hAnsi="Times New Roman"/>
          <w:color w:val="000000"/>
        </w:rPr>
        <w:t>LDK Solar的19.9%少数股权交易；</w:t>
      </w:r>
    </w:p>
    <w:p w14:paraId="336A3E15" w14:textId="77777777" w:rsidR="00AB4248" w:rsidRDefault="00AB4248" w:rsidP="00AB4248">
      <w:pPr>
        <w:pStyle w:val="af5"/>
        <w:numPr>
          <w:ilvl w:val="0"/>
          <w:numId w:val="41"/>
        </w:numPr>
        <w:spacing w:before="120"/>
        <w:ind w:left="690" w:hanging="240"/>
        <w:rPr>
          <w:rFonts w:ascii="宋体" w:eastAsia="宋体" w:hAnsi="Times New Roman"/>
          <w:color w:val="000000"/>
        </w:rPr>
      </w:pPr>
      <w:r w:rsidRPr="00AB4248">
        <w:rPr>
          <w:rFonts w:ascii="宋体" w:eastAsia="宋体" w:hAnsi="Times New Roman" w:hint="eastAsia"/>
          <w:color w:val="000000"/>
        </w:rPr>
        <w:t>代表</w:t>
      </w:r>
      <w:r w:rsidRPr="00AB4248">
        <w:rPr>
          <w:rFonts w:ascii="宋体" w:eastAsia="宋体" w:hAnsi="Times New Roman"/>
          <w:color w:val="000000"/>
        </w:rPr>
        <w:t>Samena 就其在中国境内若干家幼儿园的投资。</w:t>
      </w:r>
    </w:p>
    <w:p w14:paraId="169D396C" w14:textId="77777777" w:rsidR="00AB4248" w:rsidRDefault="00AB4248" w:rsidP="00AB4248">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6154225D" w14:textId="77777777" w:rsidR="00AB4248" w:rsidRDefault="00AB4248" w:rsidP="00AB4248">
      <w:pPr>
        <w:pStyle w:val="af5"/>
        <w:spacing w:after="0" w:line="480" w:lineRule="auto"/>
        <w:rPr>
          <w:rFonts w:ascii="宋体" w:eastAsia="宋体" w:hAnsi="宋体"/>
          <w:b/>
          <w:sz w:val="24"/>
        </w:rPr>
      </w:pPr>
      <w:r w:rsidRPr="00AB4248">
        <w:rPr>
          <w:rFonts w:ascii="宋体" w:eastAsia="宋体" w:hAnsi="宋体" w:hint="eastAsia"/>
          <w:b/>
          <w:sz w:val="24"/>
        </w:rPr>
        <w:t>教育背景</w:t>
      </w:r>
    </w:p>
    <w:p w14:paraId="5542E25F" w14:textId="77777777" w:rsidR="00AB4248" w:rsidRDefault="00AB4248" w:rsidP="00AB4248">
      <w:pPr>
        <w:pStyle w:val="af5"/>
        <w:numPr>
          <w:ilvl w:val="0"/>
          <w:numId w:val="42"/>
        </w:numPr>
        <w:spacing w:before="120"/>
        <w:ind w:left="690" w:hanging="240"/>
        <w:rPr>
          <w:rFonts w:ascii="宋体" w:eastAsia="宋体" w:hAnsi="Times New Roman"/>
          <w:color w:val="000000"/>
        </w:rPr>
      </w:pPr>
      <w:r w:rsidRPr="00AB4248">
        <w:rPr>
          <w:rFonts w:ascii="宋体" w:eastAsia="宋体" w:hAnsi="Times New Roman" w:hint="eastAsia"/>
          <w:color w:val="000000"/>
        </w:rPr>
        <w:t>复旦大学，法学学士</w:t>
      </w:r>
    </w:p>
    <w:p w14:paraId="76F599DF" w14:textId="77777777" w:rsidR="00AB4248" w:rsidRDefault="00AB4248" w:rsidP="00AB4248">
      <w:pPr>
        <w:pStyle w:val="af5"/>
        <w:numPr>
          <w:ilvl w:val="0"/>
          <w:numId w:val="43"/>
        </w:numPr>
        <w:spacing w:before="120"/>
        <w:ind w:left="690" w:hanging="240"/>
        <w:rPr>
          <w:rFonts w:ascii="宋体" w:eastAsia="宋体" w:hAnsi="Times New Roman"/>
          <w:color w:val="000000"/>
        </w:rPr>
      </w:pPr>
      <w:r w:rsidRPr="00AB4248">
        <w:rPr>
          <w:rFonts w:ascii="宋体" w:eastAsia="宋体" w:hAnsi="Times New Roman" w:hint="eastAsia"/>
          <w:color w:val="000000"/>
        </w:rPr>
        <w:t>复旦大学，法学硕士</w:t>
      </w:r>
    </w:p>
    <w:p w14:paraId="70D3CE35" w14:textId="77777777" w:rsidR="00AB4248" w:rsidRDefault="00AB4248" w:rsidP="00AB4248">
      <w:pPr>
        <w:pStyle w:val="af5"/>
        <w:spacing w:after="0" w:line="480" w:lineRule="auto"/>
        <w:rPr>
          <w:rFonts w:ascii="宋体" w:eastAsia="宋体" w:hAnsi="宋体"/>
          <w:b/>
          <w:sz w:val="24"/>
        </w:rPr>
      </w:pPr>
      <w:r w:rsidRPr="00AB4248">
        <w:rPr>
          <w:rFonts w:ascii="宋体" w:eastAsia="宋体" w:hAnsi="宋体" w:hint="eastAsia"/>
          <w:b/>
          <w:sz w:val="24"/>
        </w:rPr>
        <w:t>执业资格</w:t>
      </w:r>
    </w:p>
    <w:p w14:paraId="552F4A26" w14:textId="77777777" w:rsidR="00AB4248" w:rsidRDefault="00AB4248" w:rsidP="00AB4248">
      <w:pPr>
        <w:pStyle w:val="af5"/>
        <w:numPr>
          <w:ilvl w:val="0"/>
          <w:numId w:val="44"/>
        </w:numPr>
        <w:spacing w:before="120"/>
        <w:ind w:left="690" w:hanging="240"/>
        <w:rPr>
          <w:rFonts w:ascii="宋体" w:eastAsia="宋体" w:hAnsi="Times New Roman"/>
          <w:color w:val="000000"/>
        </w:rPr>
      </w:pPr>
      <w:r w:rsidRPr="00AB4248">
        <w:rPr>
          <w:rFonts w:ascii="宋体" w:eastAsia="宋体" w:hAnsi="Times New Roman" w:hint="eastAsia"/>
          <w:color w:val="000000"/>
        </w:rPr>
        <w:t>中华人民共和国执业律师</w:t>
      </w:r>
    </w:p>
    <w:p w14:paraId="39B9FB6C" w14:textId="77777777" w:rsidR="00AB4248" w:rsidRDefault="00AB4248" w:rsidP="00AB4248">
      <w:pPr>
        <w:pStyle w:val="af5"/>
        <w:spacing w:after="0" w:line="480" w:lineRule="auto"/>
        <w:rPr>
          <w:rFonts w:ascii="宋体" w:eastAsia="宋体" w:hAnsi="宋体"/>
          <w:b/>
          <w:sz w:val="24"/>
        </w:rPr>
      </w:pPr>
      <w:r w:rsidRPr="00AB4248">
        <w:rPr>
          <w:rFonts w:ascii="宋体" w:eastAsia="宋体" w:hAnsi="宋体" w:hint="eastAsia"/>
          <w:b/>
          <w:sz w:val="24"/>
        </w:rPr>
        <w:t>工作语言</w:t>
      </w:r>
    </w:p>
    <w:p w14:paraId="1CE421B6" w14:textId="77777777" w:rsidR="00AB4248" w:rsidRDefault="00AB4248" w:rsidP="00AB4248">
      <w:pPr>
        <w:pStyle w:val="af5"/>
        <w:numPr>
          <w:ilvl w:val="0"/>
          <w:numId w:val="45"/>
        </w:numPr>
        <w:spacing w:before="120"/>
        <w:ind w:left="690" w:hanging="240"/>
        <w:rPr>
          <w:rFonts w:ascii="宋体" w:eastAsia="宋体" w:hAnsi="Times New Roman"/>
          <w:color w:val="000000"/>
        </w:rPr>
      </w:pPr>
      <w:r w:rsidRPr="00AB4248">
        <w:rPr>
          <w:rFonts w:ascii="宋体" w:eastAsia="宋体" w:hAnsi="Times New Roman" w:hint="eastAsia"/>
          <w:color w:val="000000"/>
        </w:rPr>
        <w:t>普通话</w:t>
      </w:r>
    </w:p>
    <w:p w14:paraId="7D65ABA7" w14:textId="77777777" w:rsidR="00AB4248" w:rsidRDefault="00AB4248" w:rsidP="00AB4248">
      <w:pPr>
        <w:pStyle w:val="af5"/>
        <w:numPr>
          <w:ilvl w:val="0"/>
          <w:numId w:val="46"/>
        </w:numPr>
        <w:spacing w:before="120"/>
        <w:ind w:left="690" w:hanging="240"/>
        <w:rPr>
          <w:rFonts w:ascii="宋体" w:eastAsia="宋体" w:hAnsi="Times New Roman"/>
          <w:color w:val="000000"/>
        </w:rPr>
      </w:pPr>
      <w:r w:rsidRPr="00AB4248">
        <w:rPr>
          <w:rFonts w:ascii="宋体" w:eastAsia="宋体" w:hAnsi="Times New Roman" w:hint="eastAsia"/>
          <w:color w:val="000000"/>
        </w:rPr>
        <w:t>英语</w:t>
      </w:r>
    </w:p>
    <w:p w14:paraId="3C6122B8" w14:textId="77777777" w:rsidR="00AB4248" w:rsidRDefault="00AB4248" w:rsidP="00AB4248">
      <w:pPr>
        <w:pStyle w:val="af5"/>
        <w:spacing w:after="0" w:line="480" w:lineRule="auto"/>
        <w:rPr>
          <w:rFonts w:ascii="宋体" w:eastAsia="宋体" w:hAnsi="宋体"/>
          <w:b/>
          <w:sz w:val="24"/>
        </w:rPr>
      </w:pPr>
      <w:r w:rsidRPr="00AB4248">
        <w:rPr>
          <w:rFonts w:ascii="宋体" w:eastAsia="宋体" w:hAnsi="宋体" w:hint="eastAsia"/>
          <w:b/>
          <w:sz w:val="24"/>
        </w:rPr>
        <w:t>职业背景</w:t>
      </w:r>
    </w:p>
    <w:p w14:paraId="4F0A196B" w14:textId="75F9B0B5" w:rsidR="00A46A04" w:rsidRPr="00AB4248" w:rsidRDefault="00AB4248" w:rsidP="00AB4248">
      <w:pPr>
        <w:pStyle w:val="af5"/>
        <w:numPr>
          <w:ilvl w:val="0"/>
          <w:numId w:val="47"/>
        </w:numPr>
        <w:spacing w:before="120"/>
        <w:ind w:left="690" w:hanging="240"/>
        <w:rPr>
          <w:rFonts w:ascii="宋体" w:eastAsia="宋体" w:hAnsi="Times New Roman"/>
          <w:color w:val="000000"/>
        </w:rPr>
      </w:pPr>
      <w:r w:rsidRPr="00AB4248">
        <w:rPr>
          <w:rFonts w:ascii="宋体" w:eastAsia="宋体" w:hAnsi="Times New Roman" w:hint="eastAsia"/>
          <w:color w:val="000000"/>
        </w:rPr>
        <w:t>陆尘于</w:t>
      </w:r>
      <w:r w:rsidRPr="00AB4248">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AB42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48A"/>
    <w:multiLevelType w:val="singleLevel"/>
    <w:tmpl w:val="8F44B5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618D2"/>
    <w:multiLevelType w:val="singleLevel"/>
    <w:tmpl w:val="EDB610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C618A"/>
    <w:multiLevelType w:val="singleLevel"/>
    <w:tmpl w:val="AC2460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971EAF"/>
    <w:multiLevelType w:val="singleLevel"/>
    <w:tmpl w:val="0D64F9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AF11DC"/>
    <w:multiLevelType w:val="singleLevel"/>
    <w:tmpl w:val="D2E401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CE75A6"/>
    <w:multiLevelType w:val="singleLevel"/>
    <w:tmpl w:val="AD2614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A20276"/>
    <w:multiLevelType w:val="singleLevel"/>
    <w:tmpl w:val="7548E2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166BA7"/>
    <w:multiLevelType w:val="singleLevel"/>
    <w:tmpl w:val="3692C8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74C16"/>
    <w:multiLevelType w:val="singleLevel"/>
    <w:tmpl w:val="B298E7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DE4DC7"/>
    <w:multiLevelType w:val="singleLevel"/>
    <w:tmpl w:val="5CC20E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E064B7"/>
    <w:multiLevelType w:val="singleLevel"/>
    <w:tmpl w:val="A4B2DA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AB387D"/>
    <w:multiLevelType w:val="singleLevel"/>
    <w:tmpl w:val="794259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295FCD"/>
    <w:multiLevelType w:val="singleLevel"/>
    <w:tmpl w:val="7C9C0C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987686"/>
    <w:multiLevelType w:val="singleLevel"/>
    <w:tmpl w:val="C076E4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286D10"/>
    <w:multiLevelType w:val="singleLevel"/>
    <w:tmpl w:val="B1EE8E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C64A47"/>
    <w:multiLevelType w:val="singleLevel"/>
    <w:tmpl w:val="0DF869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3C6B21"/>
    <w:multiLevelType w:val="singleLevel"/>
    <w:tmpl w:val="2042E3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AB10E1"/>
    <w:multiLevelType w:val="singleLevel"/>
    <w:tmpl w:val="D3BC6C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743EEB"/>
    <w:multiLevelType w:val="singleLevel"/>
    <w:tmpl w:val="22765A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9E568D"/>
    <w:multiLevelType w:val="singleLevel"/>
    <w:tmpl w:val="133660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A12D50"/>
    <w:multiLevelType w:val="singleLevel"/>
    <w:tmpl w:val="A13E46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587A4E"/>
    <w:multiLevelType w:val="singleLevel"/>
    <w:tmpl w:val="42EA96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894FB7"/>
    <w:multiLevelType w:val="singleLevel"/>
    <w:tmpl w:val="B23889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05835F9"/>
    <w:multiLevelType w:val="singleLevel"/>
    <w:tmpl w:val="332696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9F170E"/>
    <w:multiLevelType w:val="singleLevel"/>
    <w:tmpl w:val="1D5473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AC26DE"/>
    <w:multiLevelType w:val="singleLevel"/>
    <w:tmpl w:val="5562E2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99731B"/>
    <w:multiLevelType w:val="singleLevel"/>
    <w:tmpl w:val="681A2B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F60977"/>
    <w:multiLevelType w:val="singleLevel"/>
    <w:tmpl w:val="827EC3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B92BC9"/>
    <w:multiLevelType w:val="singleLevel"/>
    <w:tmpl w:val="21146A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1E0BED"/>
    <w:multiLevelType w:val="singleLevel"/>
    <w:tmpl w:val="9DD685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330EF5"/>
    <w:multiLevelType w:val="singleLevel"/>
    <w:tmpl w:val="BF0A96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9E681B"/>
    <w:multiLevelType w:val="singleLevel"/>
    <w:tmpl w:val="489ABB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2A4626"/>
    <w:multiLevelType w:val="singleLevel"/>
    <w:tmpl w:val="D012D0D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A758C9"/>
    <w:multiLevelType w:val="singleLevel"/>
    <w:tmpl w:val="1FB85C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405CF9"/>
    <w:multiLevelType w:val="singleLevel"/>
    <w:tmpl w:val="85C6940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3A329A"/>
    <w:multiLevelType w:val="singleLevel"/>
    <w:tmpl w:val="40E865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4F3CBD"/>
    <w:multiLevelType w:val="singleLevel"/>
    <w:tmpl w:val="1C9253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E4717C"/>
    <w:multiLevelType w:val="singleLevel"/>
    <w:tmpl w:val="1EA4F1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B16EC0"/>
    <w:multiLevelType w:val="singleLevel"/>
    <w:tmpl w:val="28269F1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532FD5"/>
    <w:multiLevelType w:val="singleLevel"/>
    <w:tmpl w:val="2C5E84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893966"/>
    <w:multiLevelType w:val="singleLevel"/>
    <w:tmpl w:val="8FC619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CD134A"/>
    <w:multiLevelType w:val="singleLevel"/>
    <w:tmpl w:val="0DF8698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233229"/>
    <w:multiLevelType w:val="singleLevel"/>
    <w:tmpl w:val="9A121D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A54FE4"/>
    <w:multiLevelType w:val="singleLevel"/>
    <w:tmpl w:val="FCA610E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C51E84"/>
    <w:multiLevelType w:val="singleLevel"/>
    <w:tmpl w:val="FDCE576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4"/>
  </w:num>
  <w:num w:numId="3">
    <w:abstractNumId w:val="33"/>
  </w:num>
  <w:num w:numId="4">
    <w:abstractNumId w:val="7"/>
  </w:num>
  <w:num w:numId="5">
    <w:abstractNumId w:val="13"/>
  </w:num>
  <w:num w:numId="6">
    <w:abstractNumId w:val="12"/>
  </w:num>
  <w:num w:numId="7">
    <w:abstractNumId w:val="10"/>
  </w:num>
  <w:num w:numId="8">
    <w:abstractNumId w:val="46"/>
  </w:num>
  <w:num w:numId="9">
    <w:abstractNumId w:val="18"/>
  </w:num>
  <w:num w:numId="10">
    <w:abstractNumId w:val="34"/>
  </w:num>
  <w:num w:numId="11">
    <w:abstractNumId w:val="5"/>
  </w:num>
  <w:num w:numId="12">
    <w:abstractNumId w:val="1"/>
  </w:num>
  <w:num w:numId="13">
    <w:abstractNumId w:val="29"/>
  </w:num>
  <w:num w:numId="14">
    <w:abstractNumId w:val="9"/>
  </w:num>
  <w:num w:numId="15">
    <w:abstractNumId w:val="31"/>
  </w:num>
  <w:num w:numId="16">
    <w:abstractNumId w:val="15"/>
  </w:num>
  <w:num w:numId="17">
    <w:abstractNumId w:val="20"/>
  </w:num>
  <w:num w:numId="18">
    <w:abstractNumId w:val="6"/>
  </w:num>
  <w:num w:numId="19">
    <w:abstractNumId w:val="25"/>
  </w:num>
  <w:num w:numId="20">
    <w:abstractNumId w:val="37"/>
  </w:num>
  <w:num w:numId="21">
    <w:abstractNumId w:val="39"/>
  </w:num>
  <w:num w:numId="22">
    <w:abstractNumId w:val="3"/>
  </w:num>
  <w:num w:numId="23">
    <w:abstractNumId w:val="36"/>
  </w:num>
  <w:num w:numId="24">
    <w:abstractNumId w:val="40"/>
  </w:num>
  <w:num w:numId="25">
    <w:abstractNumId w:val="19"/>
  </w:num>
  <w:num w:numId="26">
    <w:abstractNumId w:val="26"/>
  </w:num>
  <w:num w:numId="27">
    <w:abstractNumId w:val="11"/>
  </w:num>
  <w:num w:numId="28">
    <w:abstractNumId w:val="8"/>
  </w:num>
  <w:num w:numId="29">
    <w:abstractNumId w:val="42"/>
  </w:num>
  <w:num w:numId="30">
    <w:abstractNumId w:val="45"/>
  </w:num>
  <w:num w:numId="31">
    <w:abstractNumId w:val="41"/>
  </w:num>
  <w:num w:numId="32">
    <w:abstractNumId w:val="21"/>
  </w:num>
  <w:num w:numId="33">
    <w:abstractNumId w:val="35"/>
  </w:num>
  <w:num w:numId="34">
    <w:abstractNumId w:val="17"/>
  </w:num>
  <w:num w:numId="35">
    <w:abstractNumId w:val="30"/>
  </w:num>
  <w:num w:numId="36">
    <w:abstractNumId w:val="0"/>
  </w:num>
  <w:num w:numId="37">
    <w:abstractNumId w:val="38"/>
  </w:num>
  <w:num w:numId="38">
    <w:abstractNumId w:val="44"/>
  </w:num>
  <w:num w:numId="39">
    <w:abstractNumId w:val="2"/>
  </w:num>
  <w:num w:numId="40">
    <w:abstractNumId w:val="32"/>
  </w:num>
  <w:num w:numId="41">
    <w:abstractNumId w:val="23"/>
  </w:num>
  <w:num w:numId="42">
    <w:abstractNumId w:val="4"/>
  </w:num>
  <w:num w:numId="43">
    <w:abstractNumId w:val="28"/>
  </w:num>
  <w:num w:numId="44">
    <w:abstractNumId w:val="27"/>
  </w:num>
  <w:num w:numId="45">
    <w:abstractNumId w:val="22"/>
  </w:num>
  <w:num w:numId="46">
    <w:abstractNumId w:val="16"/>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B424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4248"/>
    <w:pPr>
      <w:spacing w:after="120"/>
    </w:pPr>
  </w:style>
  <w:style w:type="character" w:customStyle="1" w:styleId="af6">
    <w:name w:val="正文文本 字符"/>
    <w:basedOn w:val="a0"/>
    <w:link w:val="af5"/>
    <w:uiPriority w:val="99"/>
    <w:rsid w:val="00AB42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F2CD4-5EBF-4FE6-977D-983AC4E4D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2026-09-22T10:41:00Z</dcterms:created>
  <dcterms:modified xsi:type="dcterms:W3CDTF">2026-09-22T10:41:00Z</dcterms:modified>
</cp:coreProperties>
</file>