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EDCBC06" w:rsidR="0049405C" w:rsidRPr="00187BAA" w:rsidRDefault="003E711E" w:rsidP="003E711E">
            <w:pPr>
              <w:spacing w:line="720" w:lineRule="auto"/>
              <w:rPr>
                <w:rFonts w:ascii="宋体" w:eastAsia="宋体" w:hAnsi="宋体"/>
                <w:color w:val="545551"/>
              </w:rPr>
            </w:pPr>
            <w:bookmarkStart w:id="0" w:name="xingming"/>
            <w:bookmarkStart w:id="1" w:name="_GoBack"/>
            <w:bookmarkEnd w:id="1"/>
            <w:r w:rsidRPr="003E711E">
              <w:rPr>
                <w:rFonts w:ascii="宋体" w:eastAsia="宋体" w:hAnsi="Times New Roman" w:hint="eastAsia"/>
                <w:b/>
                <w:color w:val="000000"/>
                <w:sz w:val="48"/>
              </w:rPr>
              <w:t>施巍</w:t>
            </w:r>
            <w:bookmarkEnd w:id="0"/>
          </w:p>
          <w:p w14:paraId="706EB16B" w14:textId="3525F863" w:rsidR="0049405C" w:rsidRPr="00187BAA" w:rsidRDefault="003E711E" w:rsidP="003E711E">
            <w:pPr>
              <w:spacing w:line="360" w:lineRule="auto"/>
              <w:rPr>
                <w:rFonts w:ascii="宋体" w:eastAsia="宋体" w:hAnsi="宋体"/>
                <w:b/>
                <w:bCs/>
                <w:color w:val="545551"/>
              </w:rPr>
            </w:pPr>
            <w:bookmarkStart w:id="2" w:name="didian"/>
            <w:r w:rsidRPr="003E711E">
              <w:rPr>
                <w:rFonts w:ascii="宋体" w:eastAsia="宋体" w:hAnsi="Times New Roman" w:hint="eastAsia"/>
                <w:b/>
                <w:bCs/>
                <w:color w:val="000000"/>
              </w:rPr>
              <w:t>合伙人·上海</w:t>
            </w:r>
            <w:bookmarkEnd w:id="2"/>
          </w:p>
          <w:p w14:paraId="6199424A" w14:textId="0CB6CF60" w:rsidR="0049405C" w:rsidRPr="00187BAA" w:rsidRDefault="003E711E" w:rsidP="003E711E">
            <w:pPr>
              <w:spacing w:line="360" w:lineRule="auto"/>
              <w:rPr>
                <w:rFonts w:ascii="宋体" w:eastAsia="宋体" w:hAnsi="宋体"/>
                <w:color w:val="545551"/>
              </w:rPr>
            </w:pPr>
            <w:bookmarkStart w:id="3" w:name="dianhua"/>
            <w:r w:rsidRPr="003E711E">
              <w:rPr>
                <w:rFonts w:ascii="宋体" w:eastAsia="宋体" w:hAnsi="Times New Roman"/>
                <w:color w:val="000000"/>
              </w:rPr>
              <w:t xml:space="preserve">+86 21 2208 1109 </w:t>
            </w:r>
            <w:bookmarkEnd w:id="3"/>
          </w:p>
          <w:p w14:paraId="4F910ACA" w14:textId="5C3E4E72" w:rsidR="0049405C" w:rsidRPr="00187BAA" w:rsidRDefault="003E711E" w:rsidP="003E711E">
            <w:pPr>
              <w:spacing w:line="360" w:lineRule="auto"/>
              <w:rPr>
                <w:rFonts w:ascii="宋体" w:eastAsia="宋体" w:hAnsi="宋体"/>
                <w:color w:val="000000"/>
              </w:rPr>
            </w:pPr>
            <w:bookmarkStart w:id="4" w:name="youxiang"/>
            <w:r w:rsidRPr="003E711E">
              <w:rPr>
                <w:rFonts w:ascii="宋体" w:eastAsia="宋体" w:hAnsi="Times New Roman"/>
                <w:color w:val="000000"/>
              </w:rPr>
              <w:t>jshin@fangdalaw.com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AA9C45" w:rsidR="0049405C" w:rsidRPr="00187BAA" w:rsidRDefault="003E711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39BAF6" wp14:editId="1D66EC4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BDB71B" w:rsidR="009465FB" w:rsidRPr="00187BAA" w:rsidRDefault="003E711E" w:rsidP="007177F3">
            <w:pPr>
              <w:rPr>
                <w:rFonts w:ascii="宋体" w:eastAsia="宋体" w:hAnsi="宋体"/>
                <w:color w:val="000000"/>
                <w:szCs w:val="21"/>
              </w:rPr>
            </w:pPr>
            <w:bookmarkStart w:id="6" w:name="zhiyelingyu"/>
            <w:r w:rsidRPr="003E711E">
              <w:rPr>
                <w:rFonts w:ascii="宋体" w:eastAsia="宋体" w:hAnsi="Times New Roman" w:hint="eastAsia"/>
                <w:color w:val="000000"/>
                <w:szCs w:val="21"/>
              </w:rPr>
              <w:t>施巍律师专长于公司和商事法律事务，并在多个行业都拥有令人信服的经验积累，包括制药、生命科学、大健康、私立学校教育以及一般工业领域。</w:t>
            </w:r>
            <w:r w:rsidRPr="003E711E">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2C9012" w14:textId="77777777" w:rsidR="003E711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5BB3D1" w14:textId="77777777" w:rsidR="003E711E" w:rsidRDefault="003E711E" w:rsidP="003E711E">
      <w:pPr>
        <w:pStyle w:val="af5"/>
        <w:spacing w:before="120"/>
        <w:rPr>
          <w:rFonts w:ascii="宋体" w:eastAsia="宋体" w:hAnsi="Times New Roman"/>
          <w:color w:val="000000"/>
        </w:rPr>
      </w:pPr>
      <w:r w:rsidRPr="003E711E">
        <w:rPr>
          <w:rFonts w:ascii="宋体" w:eastAsia="宋体" w:hAnsi="Times New Roman" w:hint="eastAsia"/>
          <w:color w:val="000000"/>
        </w:rPr>
        <w:t>施律师在交易类事务与合规咨询类事务之间维持着较为平衡的执业重心。作为事务所公司业务组生命科学业务板块的牵头人，施律师擅长为客户范围广阔的法律议题提供见解。一方面，他被认为是在相关行业领域各类交易中最活跃及最具影响力的中国律师之一，涉及的交易类型包括授权许可、合作交易以及兼并收购等。在这些交易实践中，他以“敏锐的商业直觉”和“理解客户的需求”获得赞誉。此外，施律师在为客户提供合规监管相关咨询服务，尤其是对其中所蕴含的各种前沿法律课题提供意见方面亦有丰富的经验。施律师的客户评价道：“要找到一个既能掌控全局，又能潜心研究最小细节以确保工作成果质量的人并不容易。施律师以其专业性、对事业的热忱以及对行业的敏感而脱颖而出。”</w:t>
      </w:r>
    </w:p>
    <w:p w14:paraId="7A93A29C" w14:textId="77777777" w:rsidR="003E711E" w:rsidRDefault="003E711E" w:rsidP="003E711E">
      <w:pPr>
        <w:pStyle w:val="af5"/>
        <w:spacing w:after="0" w:line="480" w:lineRule="auto"/>
        <w:rPr>
          <w:rFonts w:ascii="宋体" w:eastAsia="宋体" w:hAnsi="宋体"/>
          <w:b/>
          <w:sz w:val="24"/>
        </w:rPr>
      </w:pPr>
      <w:r w:rsidRPr="003E711E">
        <w:rPr>
          <w:rFonts w:ascii="宋体" w:eastAsia="宋体" w:hAnsi="宋体" w:hint="eastAsia"/>
          <w:b/>
          <w:sz w:val="24"/>
        </w:rPr>
        <w:t>近期代理的主要案件</w:t>
      </w:r>
    </w:p>
    <w:p w14:paraId="2475C543" w14:textId="77777777" w:rsidR="003E711E" w:rsidRDefault="003E711E" w:rsidP="003E711E">
      <w:pPr>
        <w:pStyle w:val="af5"/>
        <w:spacing w:before="120"/>
        <w:rPr>
          <w:rFonts w:ascii="宋体" w:eastAsia="宋体" w:hAnsi="Times New Roman"/>
          <w:color w:val="000000"/>
        </w:rPr>
      </w:pPr>
      <w:r w:rsidRPr="003E711E">
        <w:rPr>
          <w:rFonts w:ascii="宋体" w:eastAsia="宋体" w:hAnsi="Times New Roman" w:hint="eastAsia"/>
          <w:color w:val="000000"/>
        </w:rPr>
        <w:t>收购和兼并</w:t>
      </w:r>
      <w:r w:rsidRPr="003E711E">
        <w:rPr>
          <w:rFonts w:ascii="宋体" w:eastAsia="宋体" w:hAnsi="Times New Roman"/>
          <w:color w:val="000000"/>
        </w:rPr>
        <w:t>/股权交易</w:t>
      </w:r>
    </w:p>
    <w:p w14:paraId="179A6C7A" w14:textId="77777777" w:rsidR="003E711E" w:rsidRDefault="003E711E" w:rsidP="003E711E">
      <w:pPr>
        <w:pStyle w:val="af5"/>
        <w:numPr>
          <w:ilvl w:val="0"/>
          <w:numId w:val="1"/>
        </w:numPr>
        <w:spacing w:before="120"/>
        <w:ind w:left="690" w:hanging="240"/>
        <w:rPr>
          <w:rFonts w:ascii="宋体" w:eastAsia="宋体" w:hAnsi="Times New Roman"/>
          <w:color w:val="000000"/>
        </w:rPr>
      </w:pPr>
      <w:r w:rsidRPr="003E711E">
        <w:rPr>
          <w:rFonts w:ascii="宋体" w:eastAsia="宋体" w:hAnsi="Times New Roman" w:hint="eastAsia"/>
          <w:color w:val="000000"/>
        </w:rPr>
        <w:t>代表艾科联生物</w:t>
      </w:r>
      <w:r w:rsidRPr="003E711E">
        <w:rPr>
          <w:rFonts w:ascii="宋体" w:eastAsia="宋体" w:hAnsi="Times New Roman"/>
          <w:color w:val="000000"/>
        </w:rPr>
        <w:t>Newco融资4100万元美元（由红杉中国、元生和杏泽领投），并许可引进乐普生物开发、生产与商业化两款T细胞衔接器管线的全球独家权利。</w:t>
      </w:r>
    </w:p>
    <w:p w14:paraId="6289139F" w14:textId="77777777" w:rsidR="003E711E" w:rsidRDefault="003E711E" w:rsidP="003E711E">
      <w:pPr>
        <w:pStyle w:val="af5"/>
        <w:numPr>
          <w:ilvl w:val="0"/>
          <w:numId w:val="2"/>
        </w:numPr>
        <w:spacing w:before="120"/>
        <w:ind w:left="690" w:hanging="240"/>
        <w:rPr>
          <w:rFonts w:ascii="宋体" w:eastAsia="宋体" w:hAnsi="Times New Roman"/>
          <w:color w:val="000000"/>
        </w:rPr>
      </w:pPr>
      <w:r w:rsidRPr="003E711E">
        <w:rPr>
          <w:rFonts w:ascii="宋体" w:eastAsia="宋体" w:hAnsi="Times New Roman" w:hint="eastAsia"/>
          <w:color w:val="000000"/>
        </w:rPr>
        <w:t>代表阿斯利康全球风险投资部门，为其参与多家中国生物医药研发企业（包括格治生物、元思生肽等）的股权融资提供法律服务。</w:t>
      </w:r>
    </w:p>
    <w:p w14:paraId="0E369530" w14:textId="77777777" w:rsidR="003E711E" w:rsidRDefault="003E711E" w:rsidP="003E711E">
      <w:pPr>
        <w:pStyle w:val="af5"/>
        <w:numPr>
          <w:ilvl w:val="0"/>
          <w:numId w:val="3"/>
        </w:numPr>
        <w:spacing w:before="120"/>
        <w:ind w:left="690" w:hanging="240"/>
        <w:rPr>
          <w:rFonts w:ascii="宋体" w:eastAsia="宋体" w:hAnsi="Times New Roman"/>
          <w:color w:val="000000"/>
        </w:rPr>
      </w:pPr>
      <w:r w:rsidRPr="003E711E">
        <w:rPr>
          <w:rFonts w:ascii="宋体" w:eastAsia="宋体" w:hAnsi="Times New Roman" w:hint="eastAsia"/>
          <w:color w:val="000000"/>
        </w:rPr>
        <w:t>代表葆元医药，就其以全股票交易方式被一家纽交所上市公司</w:t>
      </w:r>
      <w:r w:rsidRPr="003E711E">
        <w:rPr>
          <w:rFonts w:ascii="宋体" w:eastAsia="宋体" w:hAnsi="Times New Roman"/>
          <w:color w:val="000000"/>
        </w:rPr>
        <w:t>Nuvation Bio（纽交所股票代码：NUVB）完全收购提供法律服务。</w:t>
      </w:r>
    </w:p>
    <w:p w14:paraId="20E7AC51" w14:textId="77777777" w:rsidR="003E711E" w:rsidRDefault="003E711E" w:rsidP="003E711E">
      <w:pPr>
        <w:pStyle w:val="af5"/>
        <w:numPr>
          <w:ilvl w:val="0"/>
          <w:numId w:val="4"/>
        </w:numPr>
        <w:spacing w:before="120"/>
        <w:ind w:left="690" w:hanging="240"/>
        <w:rPr>
          <w:rFonts w:ascii="宋体" w:eastAsia="宋体" w:hAnsi="Times New Roman"/>
          <w:color w:val="000000"/>
        </w:rPr>
      </w:pPr>
      <w:r w:rsidRPr="003E711E">
        <w:rPr>
          <w:rFonts w:ascii="宋体" w:eastAsia="宋体" w:hAnsi="Times New Roman" w:hint="eastAsia"/>
          <w:color w:val="000000"/>
        </w:rPr>
        <w:t>代表葆元医药为其跨境重组以及</w:t>
      </w:r>
      <w:r w:rsidRPr="003E711E">
        <w:rPr>
          <w:rFonts w:ascii="宋体" w:eastAsia="宋体" w:hAnsi="Times New Roman"/>
          <w:color w:val="000000"/>
        </w:rPr>
        <w:t>A+/A2/B/C轮私募融资事宜提供法律服务。</w:t>
      </w:r>
    </w:p>
    <w:p w14:paraId="5FCBE6E3" w14:textId="77777777" w:rsidR="003E711E" w:rsidRDefault="003E711E" w:rsidP="003E711E">
      <w:pPr>
        <w:pStyle w:val="af5"/>
        <w:numPr>
          <w:ilvl w:val="0"/>
          <w:numId w:val="5"/>
        </w:numPr>
        <w:spacing w:before="120"/>
        <w:ind w:left="690" w:hanging="240"/>
        <w:rPr>
          <w:rFonts w:ascii="宋体" w:eastAsia="宋体" w:hAnsi="Times New Roman"/>
          <w:color w:val="000000"/>
        </w:rPr>
      </w:pPr>
      <w:r w:rsidRPr="003E711E">
        <w:rPr>
          <w:rFonts w:ascii="宋体" w:eastAsia="宋体" w:hAnsi="Times New Roman" w:hint="eastAsia"/>
          <w:color w:val="000000"/>
        </w:rPr>
        <w:t>代表</w:t>
      </w:r>
      <w:r w:rsidRPr="003E711E">
        <w:rPr>
          <w:rFonts w:ascii="宋体" w:eastAsia="宋体" w:hAnsi="Times New Roman"/>
          <w:color w:val="000000"/>
        </w:rPr>
        <w:t>ESR (益商红木集团)为其在中国对30+桩物流资产的收购/剥离项目提供法律服务。</w:t>
      </w:r>
    </w:p>
    <w:p w14:paraId="25B4A10B" w14:textId="77777777" w:rsidR="003E711E" w:rsidRDefault="003E711E" w:rsidP="003E711E">
      <w:pPr>
        <w:pStyle w:val="af5"/>
        <w:numPr>
          <w:ilvl w:val="0"/>
          <w:numId w:val="6"/>
        </w:numPr>
        <w:spacing w:before="120"/>
        <w:ind w:left="690" w:hanging="240"/>
        <w:rPr>
          <w:rFonts w:ascii="宋体" w:eastAsia="宋体" w:hAnsi="Times New Roman"/>
          <w:color w:val="000000"/>
        </w:rPr>
      </w:pPr>
      <w:r w:rsidRPr="003E711E">
        <w:rPr>
          <w:rFonts w:ascii="宋体" w:eastAsia="宋体" w:hAnsi="Times New Roman" w:hint="eastAsia"/>
          <w:color w:val="000000"/>
        </w:rPr>
        <w:t>代表阿斯利康为其斥资上百亿人民币在青岛、泰州和无锡投资新生产设施提供法律服务。</w:t>
      </w:r>
    </w:p>
    <w:p w14:paraId="2BD05809" w14:textId="77777777" w:rsidR="003E711E" w:rsidRDefault="003E711E" w:rsidP="003E711E">
      <w:pPr>
        <w:pStyle w:val="af5"/>
        <w:numPr>
          <w:ilvl w:val="0"/>
          <w:numId w:val="7"/>
        </w:numPr>
        <w:spacing w:before="120"/>
        <w:ind w:left="690" w:hanging="240"/>
        <w:rPr>
          <w:rFonts w:ascii="宋体" w:eastAsia="宋体" w:hAnsi="Times New Roman"/>
          <w:color w:val="000000"/>
        </w:rPr>
      </w:pPr>
      <w:r w:rsidRPr="003E711E">
        <w:rPr>
          <w:rFonts w:ascii="宋体" w:eastAsia="宋体" w:hAnsi="Times New Roman" w:hint="eastAsia"/>
          <w:color w:val="000000"/>
        </w:rPr>
        <w:t>代表</w:t>
      </w:r>
      <w:r w:rsidRPr="003E711E">
        <w:rPr>
          <w:rFonts w:ascii="宋体" w:eastAsia="宋体" w:hAnsi="Times New Roman"/>
          <w:color w:val="000000"/>
        </w:rPr>
        <w:t>Redwood China Logistics Fund及其他卖方为他们向ESR和宏利金融集团设立的实体出售位于中国大陆的物流资产提供法律服务。</w:t>
      </w:r>
    </w:p>
    <w:p w14:paraId="7D0A545E" w14:textId="77777777" w:rsidR="003E711E" w:rsidRDefault="003E711E" w:rsidP="003E711E">
      <w:pPr>
        <w:pStyle w:val="af5"/>
        <w:numPr>
          <w:ilvl w:val="0"/>
          <w:numId w:val="8"/>
        </w:numPr>
        <w:spacing w:before="120"/>
        <w:ind w:left="690" w:hanging="240"/>
        <w:rPr>
          <w:rFonts w:ascii="宋体" w:eastAsia="宋体" w:hAnsi="Times New Roman"/>
          <w:color w:val="000000"/>
        </w:rPr>
      </w:pPr>
      <w:r w:rsidRPr="003E711E">
        <w:rPr>
          <w:rFonts w:ascii="宋体" w:eastAsia="宋体" w:hAnsi="Times New Roman" w:hint="eastAsia"/>
          <w:color w:val="000000"/>
        </w:rPr>
        <w:t>代表多家生命科学领域的创业企业，例如凯思凯迪，亿腾医药和以星</w:t>
      </w:r>
      <w:r w:rsidRPr="003E711E">
        <w:rPr>
          <w:rFonts w:ascii="宋体" w:eastAsia="宋体" w:hAnsi="Times New Roman"/>
          <w:color w:val="000000"/>
        </w:rPr>
        <w:t>MitrAssist，为其多轮融资提供法律服务。</w:t>
      </w:r>
    </w:p>
    <w:p w14:paraId="57DBDE1F" w14:textId="77777777" w:rsidR="003E711E" w:rsidRDefault="003E711E" w:rsidP="003E711E">
      <w:pPr>
        <w:pStyle w:val="af5"/>
        <w:numPr>
          <w:ilvl w:val="0"/>
          <w:numId w:val="9"/>
        </w:numPr>
        <w:spacing w:before="120"/>
        <w:ind w:left="690" w:hanging="240"/>
        <w:rPr>
          <w:rFonts w:ascii="宋体" w:eastAsia="宋体" w:hAnsi="Times New Roman"/>
          <w:color w:val="000000"/>
        </w:rPr>
      </w:pPr>
      <w:r w:rsidRPr="003E711E">
        <w:rPr>
          <w:rFonts w:ascii="宋体" w:eastAsia="宋体" w:hAnsi="Times New Roman" w:hint="eastAsia"/>
          <w:color w:val="000000"/>
        </w:rPr>
        <w:t>代表亿腾医药，为其向礼来制药收购抗感染药物产品组合（希刻劳和稳可信）以及位于苏州的生产设施提供法律服务。</w:t>
      </w:r>
    </w:p>
    <w:p w14:paraId="3F918647" w14:textId="77777777" w:rsidR="003E711E" w:rsidRDefault="003E711E" w:rsidP="003E711E">
      <w:pPr>
        <w:pStyle w:val="af5"/>
        <w:numPr>
          <w:ilvl w:val="0"/>
          <w:numId w:val="10"/>
        </w:numPr>
        <w:spacing w:before="120"/>
        <w:ind w:left="690" w:hanging="240"/>
        <w:rPr>
          <w:rFonts w:ascii="宋体" w:eastAsia="宋体" w:hAnsi="Times New Roman"/>
          <w:color w:val="000000"/>
        </w:rPr>
      </w:pPr>
      <w:r w:rsidRPr="003E711E">
        <w:rPr>
          <w:rFonts w:ascii="宋体" w:eastAsia="宋体" w:hAnsi="Times New Roman" w:hint="eastAsia"/>
          <w:color w:val="000000"/>
        </w:rPr>
        <w:t>代表拜耳医药，为其剥离部分中成药资产组合以及位于昆明的一处生产设施并出售给一家领先的中国医药企业提供法律服务。</w:t>
      </w:r>
    </w:p>
    <w:p w14:paraId="14EB65E4" w14:textId="77777777" w:rsidR="003E711E" w:rsidRDefault="003E711E" w:rsidP="003E711E">
      <w:pPr>
        <w:pStyle w:val="af5"/>
        <w:numPr>
          <w:ilvl w:val="0"/>
          <w:numId w:val="11"/>
        </w:numPr>
        <w:spacing w:before="120"/>
        <w:ind w:left="690" w:hanging="240"/>
        <w:rPr>
          <w:rFonts w:ascii="宋体" w:eastAsia="宋体" w:hAnsi="Times New Roman"/>
          <w:color w:val="000000"/>
        </w:rPr>
      </w:pPr>
      <w:r w:rsidRPr="003E711E">
        <w:rPr>
          <w:rFonts w:ascii="宋体" w:eastAsia="宋体" w:hAnsi="Times New Roman" w:hint="eastAsia"/>
          <w:color w:val="000000"/>
        </w:rPr>
        <w:t>代表</w:t>
      </w:r>
      <w:r w:rsidRPr="003E711E">
        <w:rPr>
          <w:rFonts w:ascii="宋体" w:eastAsia="宋体" w:hAnsi="Times New Roman"/>
          <w:color w:val="000000"/>
        </w:rPr>
        <w:t>Education Index Management（德威学校品牌的亚洲运营商）为其进行的数轮私募融资以及其中国业务的重组提供法律服务。</w:t>
      </w:r>
    </w:p>
    <w:p w14:paraId="4D045582" w14:textId="77777777" w:rsidR="003E711E" w:rsidRDefault="003E711E" w:rsidP="003E711E">
      <w:pPr>
        <w:pStyle w:val="af5"/>
        <w:numPr>
          <w:ilvl w:val="0"/>
          <w:numId w:val="12"/>
        </w:numPr>
        <w:spacing w:before="120"/>
        <w:ind w:left="690" w:hanging="240"/>
        <w:rPr>
          <w:rFonts w:ascii="宋体" w:eastAsia="宋体" w:hAnsi="Times New Roman"/>
          <w:color w:val="000000"/>
        </w:rPr>
      </w:pPr>
      <w:r w:rsidRPr="003E711E">
        <w:rPr>
          <w:rFonts w:ascii="宋体" w:eastAsia="宋体" w:hAnsi="Times New Roman" w:hint="eastAsia"/>
          <w:color w:val="000000"/>
        </w:rPr>
        <w:t>代表光大控股为其对深圳先健科技</w:t>
      </w:r>
      <w:r w:rsidRPr="003E711E">
        <w:rPr>
          <w:rFonts w:ascii="宋体" w:eastAsia="宋体" w:hAnsi="Times New Roman"/>
          <w:color w:val="000000"/>
        </w:rPr>
        <w:t>(01302.HK)进行投资提供法律服务，先健科技为一家业内领先的心血管微创介入医疗器械供应商。</w:t>
      </w:r>
    </w:p>
    <w:p w14:paraId="0D4AFFC4" w14:textId="77777777" w:rsidR="003E711E" w:rsidRDefault="003E711E" w:rsidP="003E711E">
      <w:pPr>
        <w:pStyle w:val="af5"/>
        <w:numPr>
          <w:ilvl w:val="0"/>
          <w:numId w:val="13"/>
        </w:numPr>
        <w:spacing w:before="120"/>
        <w:ind w:left="690" w:hanging="240"/>
        <w:rPr>
          <w:rFonts w:ascii="宋体" w:eastAsia="宋体" w:hAnsi="Times New Roman"/>
          <w:color w:val="000000"/>
        </w:rPr>
      </w:pPr>
      <w:r w:rsidRPr="003E711E">
        <w:rPr>
          <w:rFonts w:ascii="宋体" w:eastAsia="宋体" w:hAnsi="Times New Roman" w:hint="eastAsia"/>
          <w:color w:val="000000"/>
        </w:rPr>
        <w:t>代表平安集团，</w:t>
      </w:r>
      <w:r w:rsidRPr="003E711E">
        <w:rPr>
          <w:rFonts w:ascii="宋体" w:eastAsia="宋体" w:hAnsi="Times New Roman"/>
          <w:color w:val="000000"/>
        </w:rPr>
        <w:t>ARA, LOGOS（乐歌物流）以及森瑶资本为其在中国进行物流资产的系列收购项目提供法律服务。</w:t>
      </w:r>
    </w:p>
    <w:p w14:paraId="1819B37B" w14:textId="77777777" w:rsidR="003E711E" w:rsidRDefault="003E711E" w:rsidP="003E711E">
      <w:pPr>
        <w:pStyle w:val="af5"/>
        <w:numPr>
          <w:ilvl w:val="0"/>
          <w:numId w:val="14"/>
        </w:numPr>
        <w:spacing w:before="120"/>
        <w:ind w:left="690" w:hanging="240"/>
        <w:rPr>
          <w:rFonts w:ascii="宋体" w:eastAsia="宋体" w:hAnsi="Times New Roman"/>
          <w:color w:val="000000"/>
        </w:rPr>
      </w:pPr>
      <w:r w:rsidRPr="003E711E">
        <w:rPr>
          <w:rFonts w:ascii="宋体" w:eastAsia="宋体" w:hAnsi="Times New Roman" w:hint="eastAsia"/>
          <w:color w:val="000000"/>
        </w:rPr>
        <w:t>代表拜耳医药中国，为在拜耳全球收购默克</w:t>
      </w:r>
      <w:r w:rsidRPr="003E711E">
        <w:rPr>
          <w:rFonts w:ascii="宋体" w:eastAsia="宋体" w:hAnsi="Times New Roman"/>
          <w:color w:val="000000"/>
        </w:rPr>
        <w:t>OTC业务后与默克OTC的中国部分整合提供法律服务。</w:t>
      </w:r>
    </w:p>
    <w:p w14:paraId="4580E4C5" w14:textId="77777777" w:rsidR="003E711E" w:rsidRDefault="003E711E" w:rsidP="003E711E">
      <w:pPr>
        <w:pStyle w:val="af5"/>
        <w:numPr>
          <w:ilvl w:val="0"/>
          <w:numId w:val="15"/>
        </w:numPr>
        <w:spacing w:before="120"/>
        <w:ind w:left="690" w:hanging="240"/>
        <w:rPr>
          <w:rFonts w:ascii="宋体" w:eastAsia="宋体" w:hAnsi="Times New Roman"/>
          <w:color w:val="000000"/>
        </w:rPr>
      </w:pPr>
      <w:r w:rsidRPr="003E711E">
        <w:rPr>
          <w:rFonts w:ascii="宋体" w:eastAsia="宋体" w:hAnsi="Times New Roman" w:hint="eastAsia"/>
          <w:color w:val="000000"/>
        </w:rPr>
        <w:t>代表拜耳，为其收购滇虹药业集团</w:t>
      </w:r>
      <w:r w:rsidRPr="003E711E">
        <w:rPr>
          <w:rFonts w:ascii="宋体" w:eastAsia="宋体" w:hAnsi="Times New Roman"/>
          <w:color w:val="000000"/>
        </w:rPr>
        <w:t>100%股权提供法律服务，滇虹药业集团为一家中国领先的非处方药和中成药企业。</w:t>
      </w:r>
    </w:p>
    <w:p w14:paraId="12355D81" w14:textId="77777777" w:rsidR="003E711E" w:rsidRDefault="003E711E" w:rsidP="003E711E">
      <w:pPr>
        <w:pStyle w:val="af5"/>
        <w:numPr>
          <w:ilvl w:val="0"/>
          <w:numId w:val="16"/>
        </w:numPr>
        <w:spacing w:before="120"/>
        <w:ind w:left="690" w:hanging="240"/>
        <w:rPr>
          <w:rFonts w:ascii="宋体" w:eastAsia="宋体" w:hAnsi="Times New Roman"/>
          <w:color w:val="000000"/>
        </w:rPr>
      </w:pPr>
      <w:r w:rsidRPr="003E711E">
        <w:rPr>
          <w:rFonts w:ascii="宋体" w:eastAsia="宋体" w:hAnsi="Times New Roman" w:hint="eastAsia"/>
          <w:color w:val="000000"/>
        </w:rPr>
        <w:t>代表药明康德，为其与梅奥诊所共同设立一家提供先进临床检验技术的合资公司提供法律服务。</w:t>
      </w:r>
    </w:p>
    <w:p w14:paraId="37FF7504" w14:textId="77777777" w:rsidR="003E711E" w:rsidRDefault="003E711E" w:rsidP="003E711E">
      <w:pPr>
        <w:pStyle w:val="af5"/>
        <w:numPr>
          <w:ilvl w:val="0"/>
          <w:numId w:val="17"/>
        </w:numPr>
        <w:spacing w:before="120"/>
        <w:ind w:left="690" w:hanging="240"/>
        <w:rPr>
          <w:rFonts w:ascii="宋体" w:eastAsia="宋体" w:hAnsi="Times New Roman"/>
          <w:color w:val="000000"/>
        </w:rPr>
      </w:pPr>
      <w:r w:rsidRPr="003E711E">
        <w:rPr>
          <w:rFonts w:ascii="宋体" w:eastAsia="宋体" w:hAnsi="Times New Roman" w:hint="eastAsia"/>
          <w:color w:val="000000"/>
        </w:rPr>
        <w:t>代表</w:t>
      </w:r>
      <w:r w:rsidRPr="003E711E">
        <w:rPr>
          <w:rFonts w:ascii="宋体" w:eastAsia="宋体" w:hAnsi="Times New Roman"/>
          <w:color w:val="000000"/>
        </w:rPr>
        <w:t>World Strides，一家世界最大的修学旅行公司为其在中国收购夏令营业务提供法律服务。</w:t>
      </w:r>
    </w:p>
    <w:p w14:paraId="53559B59" w14:textId="77777777" w:rsidR="003E711E" w:rsidRDefault="003E711E" w:rsidP="003E711E">
      <w:pPr>
        <w:pStyle w:val="af5"/>
        <w:numPr>
          <w:ilvl w:val="0"/>
          <w:numId w:val="18"/>
        </w:numPr>
        <w:spacing w:before="120"/>
        <w:ind w:left="690" w:hanging="240"/>
        <w:rPr>
          <w:rFonts w:ascii="宋体" w:eastAsia="宋体" w:hAnsi="Times New Roman"/>
          <w:color w:val="000000"/>
        </w:rPr>
      </w:pPr>
      <w:r w:rsidRPr="003E711E">
        <w:rPr>
          <w:rFonts w:ascii="宋体" w:eastAsia="宋体" w:hAnsi="Times New Roman" w:hint="eastAsia"/>
          <w:color w:val="000000"/>
        </w:rPr>
        <w:t>代表百汇医疗，一家总部位于新加坡的地区领先医疗服务提供商，为其在中国的若干私立医院以及诊所的投资提供法律服务。</w:t>
      </w:r>
    </w:p>
    <w:p w14:paraId="6EEC683F" w14:textId="77777777" w:rsidR="003E711E" w:rsidRDefault="003E711E" w:rsidP="003E711E">
      <w:pPr>
        <w:pStyle w:val="af5"/>
        <w:spacing w:before="120"/>
        <w:rPr>
          <w:rFonts w:ascii="宋体" w:eastAsia="宋体" w:hAnsi="Times New Roman"/>
          <w:color w:val="000000"/>
        </w:rPr>
      </w:pPr>
      <w:r w:rsidRPr="003E711E">
        <w:rPr>
          <w:rFonts w:ascii="宋体" w:eastAsia="宋体" w:hAnsi="Times New Roman" w:hint="eastAsia"/>
          <w:color w:val="000000"/>
        </w:rPr>
        <w:t>产品许可与合作</w:t>
      </w:r>
    </w:p>
    <w:p w14:paraId="47306CE4" w14:textId="77777777" w:rsidR="003E711E" w:rsidRDefault="003E711E" w:rsidP="003E711E">
      <w:pPr>
        <w:pStyle w:val="af5"/>
        <w:numPr>
          <w:ilvl w:val="0"/>
          <w:numId w:val="19"/>
        </w:numPr>
        <w:spacing w:before="120"/>
        <w:ind w:left="690" w:hanging="240"/>
        <w:rPr>
          <w:rFonts w:ascii="宋体" w:eastAsia="宋体" w:hAnsi="Times New Roman"/>
          <w:color w:val="000000"/>
        </w:rPr>
      </w:pPr>
      <w:r w:rsidRPr="003E711E">
        <w:rPr>
          <w:rFonts w:ascii="宋体" w:eastAsia="宋体" w:hAnsi="Times New Roman" w:hint="eastAsia"/>
          <w:color w:val="000000"/>
        </w:rPr>
        <w:t>代表协和麒麟在就其亚太地区业务重组提供法律服务，该等重组交易通过一系列交易将协和麒麟中国所有权益转让给维健医药，并授予维健医药在中国商业化和生产五种处于商业化阶段的原研品牌药品以及两种全球产品的中国商业化许可权益。</w:t>
      </w:r>
    </w:p>
    <w:p w14:paraId="673D3560" w14:textId="77777777" w:rsidR="003E711E" w:rsidRDefault="003E711E" w:rsidP="003E711E">
      <w:pPr>
        <w:pStyle w:val="af5"/>
        <w:numPr>
          <w:ilvl w:val="0"/>
          <w:numId w:val="20"/>
        </w:numPr>
        <w:spacing w:before="120"/>
        <w:ind w:left="690" w:hanging="240"/>
        <w:rPr>
          <w:rFonts w:ascii="宋体" w:eastAsia="宋体" w:hAnsi="Times New Roman"/>
          <w:color w:val="000000"/>
        </w:rPr>
      </w:pPr>
      <w:r w:rsidRPr="003E711E">
        <w:rPr>
          <w:rFonts w:ascii="宋体" w:eastAsia="宋体" w:hAnsi="Times New Roman" w:hint="eastAsia"/>
          <w:color w:val="000000"/>
        </w:rPr>
        <w:t>代表阿斯利康就其与就其与亚盛医药、无锡智康弘义、上海津曼特、勤浩医药等新药研发企业之间的多项联合用药临床试验合作项目提供法律服务。</w:t>
      </w:r>
    </w:p>
    <w:p w14:paraId="392E30AF" w14:textId="77777777" w:rsidR="003E711E" w:rsidRDefault="003E711E" w:rsidP="003E711E">
      <w:pPr>
        <w:pStyle w:val="af5"/>
        <w:numPr>
          <w:ilvl w:val="0"/>
          <w:numId w:val="21"/>
        </w:numPr>
        <w:spacing w:before="120"/>
        <w:ind w:left="690" w:hanging="240"/>
        <w:rPr>
          <w:rFonts w:ascii="宋体" w:eastAsia="宋体" w:hAnsi="Times New Roman"/>
          <w:color w:val="000000"/>
        </w:rPr>
      </w:pPr>
      <w:r w:rsidRPr="003E711E">
        <w:rPr>
          <w:rFonts w:ascii="宋体" w:eastAsia="宋体" w:hAnsi="Times New Roman" w:hint="eastAsia"/>
          <w:color w:val="000000"/>
        </w:rPr>
        <w:t>代表映恩生物，就其授予三生制药旗下沈阳三生制药授予其</w:t>
      </w:r>
      <w:r w:rsidRPr="003E711E">
        <w:rPr>
          <w:rFonts w:ascii="宋体" w:eastAsia="宋体" w:hAnsi="Times New Roman"/>
          <w:color w:val="000000"/>
        </w:rPr>
        <w:t>DB-1303产品 (HER2 ADC) 多个适应症在中国大陆、香港和澳门的商业化权利提供法律服务。</w:t>
      </w:r>
    </w:p>
    <w:p w14:paraId="41E9C45D" w14:textId="77777777" w:rsidR="003E711E" w:rsidRDefault="003E711E" w:rsidP="003E711E">
      <w:pPr>
        <w:pStyle w:val="af5"/>
        <w:numPr>
          <w:ilvl w:val="0"/>
          <w:numId w:val="22"/>
        </w:numPr>
        <w:spacing w:before="120"/>
        <w:ind w:left="690" w:hanging="240"/>
        <w:rPr>
          <w:rFonts w:ascii="宋体" w:eastAsia="宋体" w:hAnsi="Times New Roman"/>
          <w:color w:val="000000"/>
        </w:rPr>
      </w:pPr>
      <w:r w:rsidRPr="003E711E">
        <w:rPr>
          <w:rFonts w:ascii="宋体" w:eastAsia="宋体" w:hAnsi="Times New Roman" w:hint="eastAsia"/>
          <w:color w:val="000000"/>
        </w:rPr>
        <w:t>代表天境生物与赛诺菲达成许可战略合作，以授予赛诺菲在大中华区开发、生产和商业化天境生物自主研发的全球创新</w:t>
      </w:r>
      <w:r w:rsidRPr="003E711E">
        <w:rPr>
          <w:rFonts w:ascii="宋体" w:eastAsia="宋体" w:hAnsi="Times New Roman"/>
          <w:color w:val="000000"/>
        </w:rPr>
        <w:t>CD73抗体尤莱利单抗(Uliledlimab)的独家权利。</w:t>
      </w:r>
    </w:p>
    <w:p w14:paraId="3795F6A7" w14:textId="77777777" w:rsidR="003E711E" w:rsidRDefault="003E711E" w:rsidP="003E711E">
      <w:pPr>
        <w:pStyle w:val="af5"/>
        <w:numPr>
          <w:ilvl w:val="0"/>
          <w:numId w:val="23"/>
        </w:numPr>
        <w:spacing w:before="120"/>
        <w:ind w:left="690" w:hanging="240"/>
        <w:rPr>
          <w:rFonts w:ascii="宋体" w:eastAsia="宋体" w:hAnsi="Times New Roman"/>
          <w:color w:val="000000"/>
        </w:rPr>
      </w:pPr>
      <w:r w:rsidRPr="003E711E">
        <w:rPr>
          <w:rFonts w:ascii="宋体" w:eastAsia="宋体" w:hAnsi="Times New Roman" w:hint="eastAsia"/>
          <w:color w:val="000000"/>
        </w:rPr>
        <w:t>代表复宏汉霖就其获得</w:t>
      </w:r>
      <w:r w:rsidRPr="003E711E">
        <w:rPr>
          <w:rFonts w:ascii="宋体" w:eastAsia="宋体" w:hAnsi="Times New Roman"/>
          <w:color w:val="000000"/>
        </w:rPr>
        <w:t>Palleon Pharmaceuticals Inc.的first-in-class人唾液酸酶融合蛋白E-602在中国的独家开发和商业化权益提供法律服务。</w:t>
      </w:r>
    </w:p>
    <w:p w14:paraId="7095C236" w14:textId="77777777" w:rsidR="003E711E" w:rsidRDefault="003E711E" w:rsidP="003E711E">
      <w:pPr>
        <w:pStyle w:val="af5"/>
        <w:numPr>
          <w:ilvl w:val="0"/>
          <w:numId w:val="24"/>
        </w:numPr>
        <w:spacing w:before="120"/>
        <w:ind w:left="690" w:hanging="240"/>
        <w:rPr>
          <w:rFonts w:ascii="宋体" w:eastAsia="宋体" w:hAnsi="Times New Roman"/>
          <w:color w:val="000000"/>
        </w:rPr>
      </w:pPr>
      <w:r w:rsidRPr="003E711E">
        <w:rPr>
          <w:rFonts w:ascii="宋体" w:eastAsia="宋体" w:hAnsi="Times New Roman" w:hint="eastAsia"/>
          <w:color w:val="000000"/>
        </w:rPr>
        <w:t>代表石药集团全资子公司津曼特生物与江苏康宁杰瑞达成独家授权许可协议，用以在中国大陆地区开发和商业化</w:t>
      </w:r>
      <w:r w:rsidRPr="003E711E">
        <w:rPr>
          <w:rFonts w:ascii="宋体" w:eastAsia="宋体" w:hAnsi="Times New Roman"/>
          <w:color w:val="000000"/>
        </w:rPr>
        <w:t>JSKN003(一种靶向HER2双表位抗体偶联药物)，首付款及近期研发里程碑逾一亿美元。</w:t>
      </w:r>
    </w:p>
    <w:p w14:paraId="5B3C8D1A" w14:textId="77777777" w:rsidR="003E711E" w:rsidRDefault="003E711E" w:rsidP="003E711E">
      <w:pPr>
        <w:pStyle w:val="af5"/>
        <w:numPr>
          <w:ilvl w:val="0"/>
          <w:numId w:val="25"/>
        </w:numPr>
        <w:spacing w:before="120"/>
        <w:ind w:left="690" w:hanging="240"/>
        <w:rPr>
          <w:rFonts w:ascii="宋体" w:eastAsia="宋体" w:hAnsi="Times New Roman"/>
          <w:color w:val="000000"/>
        </w:rPr>
      </w:pPr>
      <w:r w:rsidRPr="003E711E">
        <w:rPr>
          <w:rFonts w:ascii="宋体" w:eastAsia="宋体" w:hAnsi="Times New Roman" w:hint="eastAsia"/>
          <w:color w:val="000000"/>
        </w:rPr>
        <w:t>代表康华生物就其向</w:t>
      </w:r>
      <w:r w:rsidRPr="003E711E">
        <w:rPr>
          <w:rFonts w:ascii="宋体" w:eastAsia="宋体" w:hAnsi="Times New Roman"/>
          <w:color w:val="000000"/>
        </w:rPr>
        <w:t>HilleVax授予其在大中华区以外市场开发、生产及商业化重组六价诺如病毒疫苗的独家许可权益提供法律服务。</w:t>
      </w:r>
    </w:p>
    <w:p w14:paraId="273B6925" w14:textId="77777777" w:rsidR="003E711E" w:rsidRDefault="003E711E" w:rsidP="003E711E">
      <w:pPr>
        <w:pStyle w:val="af5"/>
        <w:numPr>
          <w:ilvl w:val="0"/>
          <w:numId w:val="26"/>
        </w:numPr>
        <w:spacing w:before="120"/>
        <w:ind w:left="690" w:hanging="240"/>
        <w:rPr>
          <w:rFonts w:ascii="宋体" w:eastAsia="宋体" w:hAnsi="Times New Roman"/>
          <w:color w:val="000000"/>
        </w:rPr>
      </w:pPr>
      <w:r w:rsidRPr="003E711E">
        <w:rPr>
          <w:rFonts w:ascii="宋体" w:eastAsia="宋体" w:hAnsi="Times New Roman" w:hint="eastAsia"/>
          <w:color w:val="000000"/>
        </w:rPr>
        <w:t>代表恒瑞医药就其创新药抗</w:t>
      </w:r>
      <w:r w:rsidRPr="003E711E">
        <w:rPr>
          <w:rFonts w:ascii="宋体" w:eastAsia="宋体" w:hAnsi="Times New Roman"/>
          <w:color w:val="000000"/>
        </w:rPr>
        <w:t>TSLP单克隆抗体 (SHR-1905) 在大中华地区以外的市场许可授权Aiolos Bio提供法律服务。</w:t>
      </w:r>
    </w:p>
    <w:p w14:paraId="28184C1E" w14:textId="77777777" w:rsidR="003E711E" w:rsidRDefault="003E711E" w:rsidP="003E711E">
      <w:pPr>
        <w:pStyle w:val="af5"/>
        <w:numPr>
          <w:ilvl w:val="0"/>
          <w:numId w:val="27"/>
        </w:numPr>
        <w:spacing w:before="120"/>
        <w:ind w:left="690" w:hanging="240"/>
        <w:rPr>
          <w:rFonts w:ascii="宋体" w:eastAsia="宋体" w:hAnsi="Times New Roman"/>
          <w:color w:val="000000"/>
        </w:rPr>
      </w:pPr>
      <w:r w:rsidRPr="003E711E">
        <w:rPr>
          <w:rFonts w:ascii="宋体" w:eastAsia="宋体" w:hAnsi="Times New Roman" w:hint="eastAsia"/>
          <w:color w:val="000000"/>
        </w:rPr>
        <w:t>代表基石药业就其向三生制药授予中国大陆地区开发、注册、生产和商业化抗</w:t>
      </w:r>
      <w:r w:rsidRPr="003E711E">
        <w:rPr>
          <w:rFonts w:ascii="宋体" w:eastAsia="宋体" w:hAnsi="Times New Roman"/>
          <w:color w:val="000000"/>
        </w:rPr>
        <w:t>PD-1单抗Nofazinlimab的独家许可权益合作安排提供服务。</w:t>
      </w:r>
    </w:p>
    <w:p w14:paraId="5733A837" w14:textId="77777777" w:rsidR="003E711E" w:rsidRDefault="003E711E" w:rsidP="003E711E">
      <w:pPr>
        <w:pStyle w:val="af5"/>
        <w:numPr>
          <w:ilvl w:val="0"/>
          <w:numId w:val="28"/>
        </w:numPr>
        <w:spacing w:before="120"/>
        <w:ind w:left="690" w:hanging="240"/>
        <w:rPr>
          <w:rFonts w:ascii="宋体" w:eastAsia="宋体" w:hAnsi="Times New Roman"/>
          <w:color w:val="000000"/>
        </w:rPr>
      </w:pPr>
      <w:r w:rsidRPr="003E711E">
        <w:rPr>
          <w:rFonts w:ascii="宋体" w:eastAsia="宋体" w:hAnsi="Times New Roman" w:hint="eastAsia"/>
          <w:color w:val="000000"/>
        </w:rPr>
        <w:t>代表多家跨国制药公司就其各自核心产品在中国市场与推广商达成</w:t>
      </w:r>
      <w:r w:rsidRPr="003E711E">
        <w:rPr>
          <w:rFonts w:ascii="宋体" w:eastAsia="宋体" w:hAnsi="Times New Roman"/>
          <w:color w:val="000000"/>
        </w:rPr>
        <w:t>CSO安排提供法律服务。</w:t>
      </w:r>
    </w:p>
    <w:p w14:paraId="6F401B29" w14:textId="77777777" w:rsidR="003E711E" w:rsidRDefault="003E711E" w:rsidP="003E711E">
      <w:pPr>
        <w:pStyle w:val="af5"/>
        <w:numPr>
          <w:ilvl w:val="0"/>
          <w:numId w:val="29"/>
        </w:numPr>
        <w:spacing w:before="120"/>
        <w:ind w:left="690" w:hanging="240"/>
        <w:rPr>
          <w:rFonts w:ascii="宋体" w:eastAsia="宋体" w:hAnsi="Times New Roman"/>
          <w:color w:val="000000"/>
        </w:rPr>
      </w:pPr>
      <w:r w:rsidRPr="003E711E">
        <w:rPr>
          <w:rFonts w:ascii="宋体" w:eastAsia="宋体" w:hAnsi="Times New Roman" w:hint="eastAsia"/>
          <w:color w:val="000000"/>
        </w:rPr>
        <w:t>代表阿斯利康，为其与第一三共就代号</w:t>
      </w:r>
      <w:r w:rsidRPr="003E711E">
        <w:rPr>
          <w:rFonts w:ascii="宋体" w:eastAsia="宋体" w:hAnsi="Times New Roman"/>
          <w:color w:val="000000"/>
        </w:rPr>
        <w:t>DS8201的ADC产品根据该等产品的全球授权协议在中国市场达成共同推广安排提供法律服务。</w:t>
      </w:r>
    </w:p>
    <w:p w14:paraId="59C735B0" w14:textId="77777777" w:rsidR="003E711E" w:rsidRDefault="003E711E" w:rsidP="003E711E">
      <w:pPr>
        <w:pStyle w:val="af5"/>
        <w:numPr>
          <w:ilvl w:val="0"/>
          <w:numId w:val="30"/>
        </w:numPr>
        <w:spacing w:before="120"/>
        <w:ind w:left="690" w:hanging="240"/>
        <w:rPr>
          <w:rFonts w:ascii="宋体" w:eastAsia="宋体" w:hAnsi="Times New Roman"/>
          <w:color w:val="000000"/>
        </w:rPr>
      </w:pPr>
      <w:r w:rsidRPr="003E711E">
        <w:rPr>
          <w:rFonts w:ascii="宋体" w:eastAsia="宋体" w:hAnsi="Times New Roman" w:hint="eastAsia"/>
          <w:color w:val="000000"/>
        </w:rPr>
        <w:t>代表基石药业，为其授予恒瑞制药有关基石旗下主要管线之一抗</w:t>
      </w:r>
      <w:r w:rsidRPr="003E711E">
        <w:rPr>
          <w:rFonts w:ascii="宋体" w:eastAsia="宋体" w:hAnsi="Times New Roman"/>
          <w:color w:val="000000"/>
        </w:rPr>
        <w:t>CTLA-4（CS1002）的大中华区独家研发、注册、生产及商业化权利提供法律服务。</w:t>
      </w:r>
    </w:p>
    <w:p w14:paraId="4F67CA94" w14:textId="77777777" w:rsidR="003E711E" w:rsidRDefault="003E711E" w:rsidP="003E711E">
      <w:pPr>
        <w:pStyle w:val="af5"/>
        <w:numPr>
          <w:ilvl w:val="0"/>
          <w:numId w:val="31"/>
        </w:numPr>
        <w:spacing w:before="120"/>
        <w:ind w:left="690" w:hanging="240"/>
        <w:rPr>
          <w:rFonts w:ascii="宋体" w:eastAsia="宋体" w:hAnsi="Times New Roman"/>
          <w:color w:val="000000"/>
        </w:rPr>
      </w:pPr>
      <w:r w:rsidRPr="003E711E">
        <w:rPr>
          <w:rFonts w:ascii="宋体" w:eastAsia="宋体" w:hAnsi="Times New Roman" w:hint="eastAsia"/>
          <w:color w:val="000000"/>
        </w:rPr>
        <w:t>分别代表包括</w:t>
      </w:r>
      <w:r w:rsidRPr="003E711E">
        <w:rPr>
          <w:rFonts w:ascii="宋体" w:eastAsia="宋体" w:hAnsi="Times New Roman"/>
          <w:color w:val="000000"/>
        </w:rPr>
        <w:t>Cordis和百特在内的数家医疗器械公司，为其在中国执行产品的委托设计、研发和制造提供法律服务。</w:t>
      </w:r>
    </w:p>
    <w:p w14:paraId="49BE3023" w14:textId="77777777" w:rsidR="003E711E" w:rsidRDefault="003E711E" w:rsidP="003E711E">
      <w:pPr>
        <w:pStyle w:val="af5"/>
        <w:numPr>
          <w:ilvl w:val="0"/>
          <w:numId w:val="32"/>
        </w:numPr>
        <w:spacing w:before="120"/>
        <w:ind w:left="690" w:hanging="240"/>
        <w:rPr>
          <w:rFonts w:ascii="宋体" w:eastAsia="宋体" w:hAnsi="Times New Roman"/>
          <w:color w:val="000000"/>
        </w:rPr>
      </w:pPr>
      <w:r w:rsidRPr="003E711E">
        <w:rPr>
          <w:rFonts w:ascii="宋体" w:eastAsia="宋体" w:hAnsi="Times New Roman" w:hint="eastAsia"/>
          <w:color w:val="000000"/>
        </w:rPr>
        <w:t>代表昂阔医药从普众发现医药科技公司获得关于抗</w:t>
      </w:r>
      <w:r w:rsidRPr="003E711E">
        <w:rPr>
          <w:rFonts w:ascii="宋体" w:eastAsia="宋体" w:hAnsi="Times New Roman"/>
          <w:color w:val="000000"/>
        </w:rPr>
        <w:t>CDH-6抗体偶联药物在全球（除大中华区外）开发、注册和商业化的排他性权利。</w:t>
      </w:r>
    </w:p>
    <w:p w14:paraId="6A45EF5C" w14:textId="77777777" w:rsidR="003E711E" w:rsidRDefault="003E711E" w:rsidP="003E711E">
      <w:pPr>
        <w:pStyle w:val="af5"/>
        <w:numPr>
          <w:ilvl w:val="0"/>
          <w:numId w:val="33"/>
        </w:numPr>
        <w:spacing w:before="120"/>
        <w:ind w:left="690" w:hanging="240"/>
        <w:rPr>
          <w:rFonts w:ascii="宋体" w:eastAsia="宋体" w:hAnsi="Times New Roman"/>
          <w:color w:val="000000"/>
        </w:rPr>
      </w:pPr>
      <w:r w:rsidRPr="003E711E">
        <w:rPr>
          <w:rFonts w:ascii="宋体" w:eastAsia="宋体" w:hAnsi="Times New Roman" w:hint="eastAsia"/>
          <w:color w:val="000000"/>
        </w:rPr>
        <w:t>代表葆元医药，为其将葆元的主要候选药物之一</w:t>
      </w:r>
      <w:r w:rsidRPr="003E711E">
        <w:rPr>
          <w:rFonts w:ascii="宋体" w:eastAsia="宋体" w:hAnsi="Times New Roman"/>
          <w:color w:val="000000"/>
        </w:rPr>
        <w:t>Taletrectinib 分别在中国市场的商业化权利授予信达药业、将日本市场的商业化权利授予Nippon Kayaku (一家日本上市公司) 提供法律服务。</w:t>
      </w:r>
    </w:p>
    <w:p w14:paraId="32F89DE9" w14:textId="77777777" w:rsidR="003E711E" w:rsidRDefault="003E711E" w:rsidP="003E711E">
      <w:pPr>
        <w:pStyle w:val="af5"/>
        <w:numPr>
          <w:ilvl w:val="0"/>
          <w:numId w:val="34"/>
        </w:numPr>
        <w:spacing w:before="120"/>
        <w:ind w:left="690" w:hanging="240"/>
        <w:rPr>
          <w:rFonts w:ascii="宋体" w:eastAsia="宋体" w:hAnsi="Times New Roman"/>
          <w:color w:val="000000"/>
        </w:rPr>
      </w:pPr>
      <w:r w:rsidRPr="003E711E">
        <w:rPr>
          <w:rFonts w:ascii="宋体" w:eastAsia="宋体" w:hAnsi="Times New Roman" w:hint="eastAsia"/>
          <w:color w:val="000000"/>
        </w:rPr>
        <w:t>代表阿斯利康为其将编号为</w:t>
      </w:r>
      <w:r w:rsidRPr="003E711E">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3FE750A6" w14:textId="77777777" w:rsidR="003E711E" w:rsidRDefault="003E711E" w:rsidP="003E711E">
      <w:pPr>
        <w:pStyle w:val="af5"/>
        <w:numPr>
          <w:ilvl w:val="0"/>
          <w:numId w:val="35"/>
        </w:numPr>
        <w:spacing w:before="120"/>
        <w:ind w:left="690" w:hanging="240"/>
        <w:rPr>
          <w:rFonts w:ascii="宋体" w:eastAsia="宋体" w:hAnsi="Times New Roman"/>
          <w:color w:val="000000"/>
        </w:rPr>
      </w:pPr>
      <w:r w:rsidRPr="003E711E">
        <w:rPr>
          <w:rFonts w:ascii="宋体" w:eastAsia="宋体" w:hAnsi="Times New Roman" w:hint="eastAsia"/>
          <w:color w:val="000000"/>
        </w:rPr>
        <w:t>代表阿斯利康，为其从绿叶制药取得血脂康</w:t>
      </w:r>
      <w:r w:rsidRPr="003E711E">
        <w:rPr>
          <w:rFonts w:ascii="宋体" w:eastAsia="宋体" w:hAnsi="Times New Roman"/>
          <w:color w:val="000000"/>
        </w:rPr>
        <w:t>(用于高血脂一线治疗的天然药)独家推广权利提供法律服务。该项目是首次由一家大型跨国制药企业由一家中国本土公司获得创新药的市场推广权利。</w:t>
      </w:r>
    </w:p>
    <w:p w14:paraId="2BBF5A85" w14:textId="77777777" w:rsidR="003E711E" w:rsidRDefault="003E711E" w:rsidP="003E711E">
      <w:pPr>
        <w:pStyle w:val="af5"/>
        <w:numPr>
          <w:ilvl w:val="0"/>
          <w:numId w:val="36"/>
        </w:numPr>
        <w:spacing w:before="120"/>
        <w:ind w:left="690" w:hanging="240"/>
        <w:rPr>
          <w:rFonts w:ascii="宋体" w:eastAsia="宋体" w:hAnsi="Times New Roman"/>
          <w:color w:val="000000"/>
        </w:rPr>
      </w:pPr>
      <w:r w:rsidRPr="003E711E">
        <w:rPr>
          <w:rFonts w:ascii="宋体" w:eastAsia="宋体" w:hAnsi="Times New Roman" w:hint="eastAsia"/>
          <w:color w:val="000000"/>
        </w:rPr>
        <w:t>代表阿斯利康，就其以</w:t>
      </w:r>
      <w:r w:rsidRPr="003E711E">
        <w:rPr>
          <w:rFonts w:ascii="宋体" w:eastAsia="宋体" w:hAnsi="Times New Roman"/>
          <w:color w:val="000000"/>
        </w:rPr>
        <w:t>3.1亿美元授权费以及持续的经济利益分享为对价向康哲药 业授予波依定在中国市场的独家商业化权利提供法律服务。</w:t>
      </w:r>
    </w:p>
    <w:p w14:paraId="1EE0C2B0" w14:textId="77777777" w:rsidR="003E711E" w:rsidRDefault="003E711E" w:rsidP="003E711E">
      <w:pPr>
        <w:pStyle w:val="af5"/>
        <w:numPr>
          <w:ilvl w:val="0"/>
          <w:numId w:val="37"/>
        </w:numPr>
        <w:spacing w:before="120"/>
        <w:ind w:left="690" w:hanging="240"/>
        <w:rPr>
          <w:rFonts w:ascii="宋体" w:eastAsia="宋体" w:hAnsi="Times New Roman"/>
          <w:color w:val="000000"/>
        </w:rPr>
      </w:pPr>
      <w:r w:rsidRPr="003E711E">
        <w:rPr>
          <w:rFonts w:ascii="宋体" w:eastAsia="宋体" w:hAnsi="Times New Roman" w:hint="eastAsia"/>
          <w:color w:val="000000"/>
        </w:rPr>
        <w:t>代表阿斯利康，就其以</w:t>
      </w:r>
      <w:r w:rsidRPr="003E711E">
        <w:rPr>
          <w:rFonts w:ascii="宋体" w:eastAsia="宋体" w:hAnsi="Times New Roman"/>
          <w:color w:val="000000"/>
        </w:rPr>
        <w:t xml:space="preserve"> 1 亿美元的授权费以及持续的经济利益分享为对价向三生药业授予糖尿病药物组合在中国市场的独家商业化权利提供法律服务。</w:t>
      </w:r>
    </w:p>
    <w:p w14:paraId="0C8A9203" w14:textId="77777777" w:rsidR="003E711E" w:rsidRDefault="003E711E" w:rsidP="003E711E">
      <w:pPr>
        <w:pStyle w:val="af5"/>
        <w:spacing w:before="120"/>
        <w:rPr>
          <w:rFonts w:ascii="宋体" w:eastAsia="宋体" w:hAnsi="Times New Roman"/>
          <w:color w:val="000000"/>
        </w:rPr>
      </w:pPr>
      <w:r w:rsidRPr="003E711E">
        <w:rPr>
          <w:rFonts w:ascii="宋体" w:eastAsia="宋体" w:hAnsi="Times New Roman" w:hint="eastAsia"/>
          <w:color w:val="000000"/>
        </w:rPr>
        <w:t>日常运营</w:t>
      </w:r>
      <w:r w:rsidRPr="003E711E">
        <w:rPr>
          <w:rFonts w:ascii="宋体" w:eastAsia="宋体" w:hAnsi="Times New Roman"/>
          <w:color w:val="000000"/>
        </w:rPr>
        <w:t>/合规事宜</w:t>
      </w:r>
    </w:p>
    <w:p w14:paraId="54C0CF11" w14:textId="77777777" w:rsidR="003E711E" w:rsidRDefault="003E711E" w:rsidP="003E711E">
      <w:pPr>
        <w:pStyle w:val="af5"/>
        <w:numPr>
          <w:ilvl w:val="0"/>
          <w:numId w:val="38"/>
        </w:numPr>
        <w:spacing w:before="120"/>
        <w:ind w:left="690" w:hanging="240"/>
        <w:rPr>
          <w:rFonts w:ascii="宋体" w:eastAsia="宋体" w:hAnsi="Times New Roman"/>
          <w:color w:val="000000"/>
        </w:rPr>
      </w:pPr>
      <w:r w:rsidRPr="003E711E">
        <w:rPr>
          <w:rFonts w:ascii="宋体" w:eastAsia="宋体" w:hAnsi="Times New Roman" w:hint="eastAsia"/>
          <w:color w:val="000000"/>
        </w:rPr>
        <w:t>代表庄信万丰、科思创、易商红木、</w:t>
      </w:r>
      <w:r w:rsidRPr="003E711E">
        <w:rPr>
          <w:rFonts w:ascii="宋体" w:eastAsia="宋体" w:hAnsi="Times New Roman"/>
          <w:color w:val="000000"/>
        </w:rPr>
        <w:t>Education Index Management、诺德安达、塞拉尼斯等多家企业为其日常业务涉及的法律问题提供意见。</w:t>
      </w:r>
    </w:p>
    <w:p w14:paraId="494B88D5" w14:textId="77777777" w:rsidR="003E711E" w:rsidRDefault="003E711E" w:rsidP="003E711E">
      <w:pPr>
        <w:pStyle w:val="af5"/>
        <w:numPr>
          <w:ilvl w:val="0"/>
          <w:numId w:val="39"/>
        </w:numPr>
        <w:spacing w:before="120"/>
        <w:ind w:left="690" w:hanging="240"/>
        <w:rPr>
          <w:rFonts w:ascii="宋体" w:eastAsia="宋体" w:hAnsi="Times New Roman"/>
          <w:color w:val="000000"/>
        </w:rPr>
      </w:pPr>
      <w:r w:rsidRPr="003E711E">
        <w:rPr>
          <w:rFonts w:ascii="宋体" w:eastAsia="宋体" w:hAnsi="Times New Roman" w:hint="eastAsia"/>
          <w:color w:val="000000"/>
        </w:rPr>
        <w:t>代表众多生命科学企业，如阿斯利康，百时美施贵宝、腾盛博药、葆元医药、辉瑞、欧加隆、施乐辉、万益特、诺华、勃林格殷格翰、罗氏、基石药业、再鼎医药、渤健生物</w:t>
      </w:r>
      <w:r w:rsidRPr="003E711E">
        <w:rPr>
          <w:rFonts w:ascii="宋体" w:eastAsia="宋体" w:hAnsi="Times New Roman"/>
          <w:color w:val="000000"/>
        </w:rPr>
        <w:t>(Biogen)、通化东宝、映恩生物以及复宏汉霖等为其日常业务涉及的法律及合规问题提供意见，包括研发、临床试验、上市许可、应对来自药监部门的调查和执法行动、产品经销、患者援助/服务项目、患者福利项目、产品推广、与NGO/PAG互动等各类议题。</w:t>
      </w:r>
    </w:p>
    <w:p w14:paraId="331FEC11" w14:textId="77777777" w:rsidR="003E711E" w:rsidRDefault="003E711E" w:rsidP="003E711E">
      <w:pPr>
        <w:pStyle w:val="af5"/>
        <w:numPr>
          <w:ilvl w:val="0"/>
          <w:numId w:val="40"/>
        </w:numPr>
        <w:spacing w:before="120"/>
        <w:ind w:left="690" w:hanging="240"/>
        <w:rPr>
          <w:rFonts w:ascii="宋体" w:eastAsia="宋体" w:hAnsi="Times New Roman"/>
          <w:color w:val="000000"/>
        </w:rPr>
      </w:pPr>
      <w:r w:rsidRPr="003E711E">
        <w:rPr>
          <w:rFonts w:ascii="宋体" w:eastAsia="宋体" w:hAnsi="Times New Roman" w:hint="eastAsia"/>
          <w:color w:val="000000"/>
        </w:rPr>
        <w:t>代表德威学校在中国的国际学校、其姐妹学校民办德闳学校、康德双语学校以及诺德安达就其运营涉及的法律问题提供服务，包括新学校设立、校园建设</w:t>
      </w:r>
      <w:r w:rsidRPr="003E711E">
        <w:rPr>
          <w:rFonts w:ascii="宋体" w:eastAsia="宋体" w:hAnsi="Times New Roman"/>
          <w:color w:val="000000"/>
        </w:rPr>
        <w:t>/扩建、监管合规、关联交易、采购、数据保护、贷款融资、学校管理等。</w:t>
      </w:r>
    </w:p>
    <w:p w14:paraId="2604E6E4" w14:textId="77777777" w:rsidR="003E711E" w:rsidRDefault="003E711E" w:rsidP="003E711E">
      <w:pPr>
        <w:pStyle w:val="af5"/>
        <w:spacing w:after="0" w:line="480" w:lineRule="auto"/>
        <w:rPr>
          <w:rFonts w:ascii="宋体" w:eastAsia="宋体" w:hAnsi="宋体"/>
          <w:b/>
          <w:sz w:val="24"/>
        </w:rPr>
      </w:pPr>
      <w:r w:rsidRPr="003E711E">
        <w:rPr>
          <w:rFonts w:ascii="宋体" w:eastAsia="宋体" w:hAnsi="宋体" w:hint="eastAsia"/>
          <w:b/>
          <w:sz w:val="24"/>
        </w:rPr>
        <w:t>教育背景</w:t>
      </w:r>
    </w:p>
    <w:p w14:paraId="2C191BBD" w14:textId="77777777" w:rsidR="003E711E" w:rsidRDefault="003E711E" w:rsidP="003E711E">
      <w:pPr>
        <w:pStyle w:val="af5"/>
        <w:numPr>
          <w:ilvl w:val="0"/>
          <w:numId w:val="41"/>
        </w:numPr>
        <w:spacing w:before="120"/>
        <w:ind w:left="690" w:hanging="240"/>
        <w:rPr>
          <w:rFonts w:ascii="宋体" w:eastAsia="宋体" w:hAnsi="Times New Roman"/>
          <w:color w:val="000000"/>
        </w:rPr>
      </w:pPr>
      <w:r w:rsidRPr="003E711E">
        <w:rPr>
          <w:rFonts w:ascii="宋体" w:eastAsia="宋体" w:hAnsi="Times New Roman" w:hint="eastAsia"/>
          <w:color w:val="000000"/>
        </w:rPr>
        <w:t>伦敦大学学院（</w:t>
      </w:r>
      <w:r w:rsidRPr="003E711E">
        <w:rPr>
          <w:rFonts w:ascii="宋体" w:eastAsia="宋体" w:hAnsi="Times New Roman"/>
          <w:color w:val="000000"/>
        </w:rPr>
        <w:t>UCL）法律系，法学硕士</w:t>
      </w:r>
    </w:p>
    <w:p w14:paraId="4FFCD209" w14:textId="77777777" w:rsidR="003E711E" w:rsidRDefault="003E711E" w:rsidP="003E711E">
      <w:pPr>
        <w:pStyle w:val="af5"/>
        <w:numPr>
          <w:ilvl w:val="0"/>
          <w:numId w:val="42"/>
        </w:numPr>
        <w:spacing w:before="120"/>
        <w:ind w:left="690" w:hanging="240"/>
        <w:rPr>
          <w:rFonts w:ascii="宋体" w:eastAsia="宋体" w:hAnsi="Times New Roman"/>
          <w:color w:val="000000"/>
        </w:rPr>
      </w:pPr>
      <w:r w:rsidRPr="003E711E">
        <w:rPr>
          <w:rFonts w:ascii="宋体" w:eastAsia="宋体" w:hAnsi="Times New Roman" w:hint="eastAsia"/>
          <w:color w:val="000000"/>
        </w:rPr>
        <w:t>复旦大学法学院，法学学士</w:t>
      </w:r>
    </w:p>
    <w:p w14:paraId="76F0B179" w14:textId="77777777" w:rsidR="003E711E" w:rsidRDefault="003E711E" w:rsidP="003E711E">
      <w:pPr>
        <w:pStyle w:val="af5"/>
        <w:spacing w:after="0" w:line="480" w:lineRule="auto"/>
        <w:rPr>
          <w:rFonts w:ascii="宋体" w:eastAsia="宋体" w:hAnsi="宋体"/>
          <w:b/>
          <w:sz w:val="24"/>
        </w:rPr>
      </w:pPr>
      <w:r w:rsidRPr="003E711E">
        <w:rPr>
          <w:rFonts w:ascii="宋体" w:eastAsia="宋体" w:hAnsi="宋体" w:hint="eastAsia"/>
          <w:b/>
          <w:sz w:val="24"/>
        </w:rPr>
        <w:t>执业资格</w:t>
      </w:r>
    </w:p>
    <w:p w14:paraId="147F6C46" w14:textId="77777777" w:rsidR="003E711E" w:rsidRDefault="003E711E" w:rsidP="003E711E">
      <w:pPr>
        <w:pStyle w:val="af5"/>
        <w:numPr>
          <w:ilvl w:val="0"/>
          <w:numId w:val="43"/>
        </w:numPr>
        <w:spacing w:before="120"/>
        <w:ind w:left="690" w:hanging="240"/>
        <w:rPr>
          <w:rFonts w:ascii="宋体" w:eastAsia="宋体" w:hAnsi="Times New Roman"/>
          <w:color w:val="000000"/>
        </w:rPr>
      </w:pPr>
      <w:r w:rsidRPr="003E711E">
        <w:rPr>
          <w:rFonts w:ascii="宋体" w:eastAsia="宋体" w:hAnsi="Times New Roman" w:hint="eastAsia"/>
          <w:color w:val="000000"/>
        </w:rPr>
        <w:t>中华人民共和国执业律师</w:t>
      </w:r>
    </w:p>
    <w:p w14:paraId="1A42BB12" w14:textId="77777777" w:rsidR="003E711E" w:rsidRDefault="003E711E" w:rsidP="003E711E">
      <w:pPr>
        <w:pStyle w:val="af5"/>
        <w:spacing w:after="0" w:line="480" w:lineRule="auto"/>
        <w:rPr>
          <w:rFonts w:ascii="宋体" w:eastAsia="宋体" w:hAnsi="宋体"/>
          <w:b/>
          <w:sz w:val="24"/>
        </w:rPr>
      </w:pPr>
      <w:r w:rsidRPr="003E711E">
        <w:rPr>
          <w:rFonts w:ascii="宋体" w:eastAsia="宋体" w:hAnsi="宋体" w:hint="eastAsia"/>
          <w:b/>
          <w:sz w:val="24"/>
        </w:rPr>
        <w:t>其他信息</w:t>
      </w:r>
    </w:p>
    <w:p w14:paraId="0DF25021" w14:textId="77777777" w:rsidR="003E711E" w:rsidRDefault="003E711E" w:rsidP="003E711E">
      <w:pPr>
        <w:pStyle w:val="af5"/>
        <w:spacing w:after="0" w:line="480" w:lineRule="auto"/>
        <w:rPr>
          <w:rFonts w:ascii="宋体" w:eastAsia="宋体" w:hAnsi="宋体"/>
          <w:b/>
          <w:sz w:val="24"/>
        </w:rPr>
      </w:pPr>
      <w:r w:rsidRPr="003E711E">
        <w:rPr>
          <w:rFonts w:ascii="宋体" w:eastAsia="宋体" w:hAnsi="宋体" w:hint="eastAsia"/>
          <w:b/>
          <w:sz w:val="24"/>
        </w:rPr>
        <w:t>讲演</w:t>
      </w:r>
    </w:p>
    <w:p w14:paraId="41A2DCDD" w14:textId="77777777" w:rsidR="003E711E" w:rsidRDefault="003E711E" w:rsidP="003E711E">
      <w:pPr>
        <w:pStyle w:val="af5"/>
        <w:numPr>
          <w:ilvl w:val="0"/>
          <w:numId w:val="44"/>
        </w:numPr>
        <w:spacing w:before="120"/>
        <w:ind w:left="690" w:hanging="240"/>
        <w:rPr>
          <w:rFonts w:ascii="宋体" w:eastAsia="宋体" w:hAnsi="Times New Roman"/>
          <w:color w:val="000000"/>
        </w:rPr>
      </w:pPr>
      <w:r w:rsidRPr="003E711E">
        <w:rPr>
          <w:rFonts w:ascii="宋体" w:eastAsia="宋体" w:hAnsi="Times New Roman"/>
          <w:color w:val="000000"/>
        </w:rPr>
        <w:t xml:space="preserve">作为行业领军人物，施律师经常性被邀请在各个国家举办的各类专业会议和论坛发表演讲或参与小组讨论，以分享其对生命科学产业、并购及BD交易以及合规监管问题的见解。 </w:t>
      </w:r>
    </w:p>
    <w:p w14:paraId="01A54EA2" w14:textId="77777777" w:rsidR="003E711E" w:rsidRDefault="003E711E" w:rsidP="003E711E">
      <w:pPr>
        <w:pStyle w:val="af5"/>
        <w:spacing w:after="0" w:line="480" w:lineRule="auto"/>
        <w:rPr>
          <w:rFonts w:ascii="宋体" w:eastAsia="宋体" w:hAnsi="宋体"/>
          <w:b/>
          <w:sz w:val="24"/>
        </w:rPr>
      </w:pPr>
      <w:r w:rsidRPr="003E711E">
        <w:rPr>
          <w:rFonts w:ascii="宋体" w:eastAsia="宋体" w:hAnsi="宋体" w:hint="eastAsia"/>
          <w:b/>
          <w:sz w:val="24"/>
        </w:rPr>
        <w:t>出版物</w:t>
      </w:r>
    </w:p>
    <w:p w14:paraId="53CC80E8" w14:textId="77777777" w:rsidR="003E711E" w:rsidRDefault="003E711E" w:rsidP="003E711E">
      <w:pPr>
        <w:pStyle w:val="af5"/>
        <w:numPr>
          <w:ilvl w:val="0"/>
          <w:numId w:val="45"/>
        </w:numPr>
        <w:spacing w:before="120"/>
        <w:ind w:left="690" w:hanging="240"/>
        <w:rPr>
          <w:rFonts w:ascii="宋体" w:eastAsia="宋体" w:hAnsi="Times New Roman"/>
          <w:color w:val="000000"/>
        </w:rPr>
      </w:pPr>
      <w:r w:rsidRPr="003E711E">
        <w:rPr>
          <w:rFonts w:ascii="宋体" w:eastAsia="宋体" w:hAnsi="Times New Roman"/>
          <w:color w:val="000000"/>
        </w:rPr>
        <w:t xml:space="preserve">Pharma Boradroom出版的《中国制药法律监管手册》（2019和2021版）牵头作者。 </w:t>
      </w:r>
    </w:p>
    <w:p w14:paraId="0D9B602E" w14:textId="77777777" w:rsidR="003E711E" w:rsidRDefault="003E711E" w:rsidP="003E711E">
      <w:pPr>
        <w:pStyle w:val="af5"/>
        <w:numPr>
          <w:ilvl w:val="0"/>
          <w:numId w:val="46"/>
        </w:numPr>
        <w:spacing w:before="120"/>
        <w:ind w:left="690" w:hanging="240"/>
        <w:rPr>
          <w:rFonts w:ascii="宋体" w:eastAsia="宋体" w:hAnsi="Times New Roman"/>
          <w:color w:val="000000"/>
        </w:rPr>
      </w:pPr>
      <w:r w:rsidRPr="003E711E">
        <w:rPr>
          <w:rFonts w:ascii="宋体" w:eastAsia="宋体" w:hAnsi="Times New Roman"/>
          <w:color w:val="000000"/>
        </w:rPr>
        <w:t xml:space="preserve">Legal 500出版的《中国生命科学: 交易洞见及瞩目行业趋势》（2024年2月）共同作者。 </w:t>
      </w:r>
    </w:p>
    <w:p w14:paraId="0DEB5170" w14:textId="77777777" w:rsidR="003E711E" w:rsidRDefault="003E711E" w:rsidP="003E711E">
      <w:pPr>
        <w:pStyle w:val="af5"/>
        <w:numPr>
          <w:ilvl w:val="0"/>
          <w:numId w:val="47"/>
        </w:numPr>
        <w:spacing w:before="120"/>
        <w:ind w:left="690" w:hanging="240"/>
        <w:rPr>
          <w:rFonts w:ascii="宋体" w:eastAsia="宋体" w:hAnsi="Times New Roman"/>
          <w:color w:val="000000"/>
        </w:rPr>
      </w:pPr>
      <w:r w:rsidRPr="003E711E">
        <w:rPr>
          <w:rFonts w:ascii="宋体" w:eastAsia="宋体" w:hAnsi="Times New Roman"/>
          <w:color w:val="000000"/>
        </w:rPr>
        <w:t xml:space="preserve">Legal500出版的《生命科学与医疗健康2024年鉴: 中国篇问答指引》（2024年2月）共同作者。 </w:t>
      </w:r>
    </w:p>
    <w:p w14:paraId="224F4172" w14:textId="77777777" w:rsidR="003E711E" w:rsidRDefault="003E711E" w:rsidP="003E711E">
      <w:pPr>
        <w:pStyle w:val="af5"/>
        <w:spacing w:after="0" w:line="480" w:lineRule="auto"/>
        <w:rPr>
          <w:rFonts w:ascii="宋体" w:eastAsia="宋体" w:hAnsi="宋体"/>
          <w:b/>
          <w:sz w:val="24"/>
        </w:rPr>
      </w:pPr>
      <w:r w:rsidRPr="003E711E">
        <w:rPr>
          <w:rFonts w:ascii="宋体" w:eastAsia="宋体" w:hAnsi="宋体" w:hint="eastAsia"/>
          <w:b/>
          <w:sz w:val="24"/>
        </w:rPr>
        <w:t>获奖情况</w:t>
      </w:r>
    </w:p>
    <w:p w14:paraId="2B1FDDBB" w14:textId="77777777" w:rsidR="003E711E" w:rsidRDefault="003E711E" w:rsidP="003E711E">
      <w:pPr>
        <w:pStyle w:val="af5"/>
        <w:numPr>
          <w:ilvl w:val="0"/>
          <w:numId w:val="48"/>
        </w:numPr>
        <w:spacing w:before="120"/>
        <w:ind w:left="690" w:hanging="240"/>
        <w:rPr>
          <w:rFonts w:ascii="宋体" w:eastAsia="宋体" w:hAnsi="Times New Roman"/>
          <w:color w:val="000000"/>
        </w:rPr>
      </w:pPr>
      <w:r w:rsidRPr="003E711E">
        <w:rPr>
          <w:rFonts w:ascii="宋体" w:eastAsia="宋体" w:hAnsi="Times New Roman"/>
          <w:color w:val="000000"/>
        </w:rPr>
        <w:t xml:space="preserve">在2019至2021年度连续被钱伯斯亚太(Chambers and Partners </w:t>
      </w:r>
      <w:r w:rsidRPr="003E711E">
        <w:rPr>
          <w:rFonts w:ascii="宋体" w:eastAsia="宋体" w:hAnsi="Times New Roman"/>
          <w:color w:val="000000"/>
        </w:rPr>
        <w:t>–</w:t>
      </w:r>
      <w:r w:rsidRPr="003E711E">
        <w:rPr>
          <w:rFonts w:ascii="宋体" w:eastAsia="宋体" w:hAnsi="Times New Roman"/>
          <w:color w:val="000000"/>
        </w:rPr>
        <w:t xml:space="preserve"> Asia Pacific)推荐为在医药健康法律服务领域领先的律师，在2022至2025年度被钱伯斯大中华区(Chambers and Partners </w:t>
      </w:r>
      <w:r w:rsidRPr="003E711E">
        <w:rPr>
          <w:rFonts w:ascii="宋体" w:eastAsia="宋体" w:hAnsi="Times New Roman"/>
          <w:color w:val="000000"/>
        </w:rPr>
        <w:t>–</w:t>
      </w:r>
      <w:r w:rsidRPr="003E711E">
        <w:rPr>
          <w:rFonts w:ascii="宋体" w:eastAsia="宋体" w:hAnsi="Times New Roman"/>
          <w:color w:val="000000"/>
        </w:rPr>
        <w:t xml:space="preserve"> Greater China)推荐为在医药健康法律服务领域领先的律师。 </w:t>
      </w:r>
    </w:p>
    <w:p w14:paraId="495BBCF4" w14:textId="77777777" w:rsidR="003E711E" w:rsidRDefault="003E711E" w:rsidP="003E711E">
      <w:pPr>
        <w:pStyle w:val="af5"/>
        <w:numPr>
          <w:ilvl w:val="0"/>
          <w:numId w:val="49"/>
        </w:numPr>
        <w:spacing w:before="120"/>
        <w:ind w:left="690" w:hanging="240"/>
        <w:rPr>
          <w:rFonts w:ascii="宋体" w:eastAsia="宋体" w:hAnsi="Times New Roman"/>
          <w:color w:val="000000"/>
        </w:rPr>
      </w:pPr>
      <w:r w:rsidRPr="003E711E">
        <w:rPr>
          <w:rFonts w:ascii="宋体" w:eastAsia="宋体" w:hAnsi="Times New Roman"/>
          <w:color w:val="000000"/>
        </w:rPr>
        <w:t xml:space="preserve">在2020-2024年度连续被法律五百强(Legal 500)推荐为医药健康和生命科学领域中资所领先个人(Leading individual)。 </w:t>
      </w:r>
    </w:p>
    <w:p w14:paraId="1D54D25E" w14:textId="77777777" w:rsidR="003E711E" w:rsidRDefault="003E711E" w:rsidP="003E711E">
      <w:pPr>
        <w:pStyle w:val="af5"/>
        <w:numPr>
          <w:ilvl w:val="0"/>
          <w:numId w:val="50"/>
        </w:numPr>
        <w:spacing w:before="120"/>
        <w:ind w:left="690" w:hanging="240"/>
        <w:rPr>
          <w:rFonts w:ascii="宋体" w:eastAsia="宋体" w:hAnsi="Times New Roman"/>
          <w:color w:val="000000"/>
        </w:rPr>
      </w:pPr>
      <w:r w:rsidRPr="003E711E">
        <w:rPr>
          <w:rFonts w:ascii="宋体" w:eastAsia="宋体" w:hAnsi="Times New Roman"/>
          <w:color w:val="000000"/>
        </w:rPr>
        <w:t xml:space="preserve">在2022至2024年度被亚洲法律(Asia Law)评为医药健康领域的杰出业者。 </w:t>
      </w:r>
    </w:p>
    <w:p w14:paraId="5D6B3F12" w14:textId="77777777" w:rsidR="003E711E" w:rsidRDefault="003E711E" w:rsidP="003E711E">
      <w:pPr>
        <w:pStyle w:val="af5"/>
        <w:numPr>
          <w:ilvl w:val="0"/>
          <w:numId w:val="51"/>
        </w:numPr>
        <w:spacing w:before="120"/>
        <w:ind w:left="690" w:hanging="240"/>
        <w:rPr>
          <w:rFonts w:ascii="宋体" w:eastAsia="宋体" w:hAnsi="Times New Roman"/>
          <w:color w:val="000000"/>
        </w:rPr>
      </w:pPr>
      <w:r w:rsidRPr="003E711E">
        <w:rPr>
          <w:rFonts w:ascii="宋体" w:eastAsia="宋体" w:hAnsi="Times New Roman"/>
          <w:color w:val="000000"/>
        </w:rPr>
        <w:t xml:space="preserve">被Merger Market评为2019年制药、医疗和生物科技并购交易法律顾问。 </w:t>
      </w:r>
    </w:p>
    <w:p w14:paraId="57DB12E4" w14:textId="77777777" w:rsidR="003E711E" w:rsidRDefault="003E711E" w:rsidP="003E711E">
      <w:pPr>
        <w:pStyle w:val="af5"/>
        <w:numPr>
          <w:ilvl w:val="0"/>
          <w:numId w:val="52"/>
        </w:numPr>
        <w:spacing w:before="120"/>
        <w:ind w:left="690" w:hanging="240"/>
        <w:rPr>
          <w:rFonts w:ascii="宋体" w:eastAsia="宋体" w:hAnsi="Times New Roman"/>
          <w:color w:val="000000"/>
        </w:rPr>
      </w:pPr>
      <w:r w:rsidRPr="003E711E">
        <w:rPr>
          <w:rFonts w:ascii="宋体" w:eastAsia="宋体" w:hAnsi="Times New Roman"/>
          <w:color w:val="000000"/>
        </w:rPr>
        <w:t xml:space="preserve">2023年被CHC医疗咨询和中信证券联合评为医疗健康行业五强最佳律师。 </w:t>
      </w:r>
    </w:p>
    <w:p w14:paraId="20D41F35" w14:textId="77777777" w:rsidR="003E711E" w:rsidRDefault="003E711E" w:rsidP="003E711E">
      <w:pPr>
        <w:pStyle w:val="af5"/>
        <w:spacing w:after="0" w:line="480" w:lineRule="auto"/>
        <w:rPr>
          <w:rFonts w:ascii="宋体" w:eastAsia="宋体" w:hAnsi="宋体"/>
          <w:b/>
          <w:sz w:val="24"/>
        </w:rPr>
      </w:pPr>
      <w:r w:rsidRPr="003E711E">
        <w:rPr>
          <w:rFonts w:ascii="宋体" w:eastAsia="宋体" w:hAnsi="宋体" w:hint="eastAsia"/>
          <w:b/>
          <w:sz w:val="24"/>
        </w:rPr>
        <w:t>其他履职</w:t>
      </w:r>
    </w:p>
    <w:p w14:paraId="587D6586" w14:textId="77777777" w:rsidR="003E711E" w:rsidRDefault="003E711E" w:rsidP="003E711E">
      <w:pPr>
        <w:pStyle w:val="af5"/>
        <w:numPr>
          <w:ilvl w:val="0"/>
          <w:numId w:val="53"/>
        </w:numPr>
        <w:spacing w:before="120"/>
        <w:ind w:left="690" w:hanging="240"/>
        <w:rPr>
          <w:rFonts w:ascii="宋体" w:eastAsia="宋体" w:hAnsi="Times New Roman"/>
          <w:color w:val="000000"/>
        </w:rPr>
      </w:pPr>
      <w:r w:rsidRPr="003E711E">
        <w:rPr>
          <w:rFonts w:ascii="宋体" w:eastAsia="宋体" w:hAnsi="Times New Roman"/>
          <w:color w:val="000000"/>
        </w:rPr>
        <w:t xml:space="preserve">目前担任上海市生物医药协会法律和合规专委会副会长。 </w:t>
      </w:r>
    </w:p>
    <w:p w14:paraId="4F0A196B" w14:textId="426223A3" w:rsidR="00A46A04" w:rsidRPr="003E711E" w:rsidRDefault="003E711E" w:rsidP="003E711E">
      <w:pPr>
        <w:pStyle w:val="af5"/>
        <w:numPr>
          <w:ilvl w:val="0"/>
          <w:numId w:val="54"/>
        </w:numPr>
        <w:spacing w:before="120"/>
        <w:ind w:left="690" w:hanging="240"/>
        <w:rPr>
          <w:rFonts w:ascii="宋体" w:eastAsia="宋体" w:hAnsi="Times New Roman"/>
          <w:color w:val="000000"/>
        </w:rPr>
      </w:pPr>
      <w:r w:rsidRPr="003E711E">
        <w:rPr>
          <w:rFonts w:ascii="宋体" w:eastAsia="宋体" w:hAnsi="Times New Roman"/>
          <w:color w:val="000000"/>
        </w:rPr>
        <w:t xml:space="preserve">施律师多年来致力于公益事业和青年专业人士的职业成长，并且是青年法律人成长公益组织NGLegal积极的贡献者和前理事会成员。 </w:t>
      </w:r>
    </w:p>
    <w:sectPr w:rsidR="00A46A04" w:rsidRPr="003E711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7ABF"/>
    <w:multiLevelType w:val="singleLevel"/>
    <w:tmpl w:val="2076A0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564F0"/>
    <w:multiLevelType w:val="singleLevel"/>
    <w:tmpl w:val="11F8DC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A87863"/>
    <w:multiLevelType w:val="singleLevel"/>
    <w:tmpl w:val="93FA5A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F51279"/>
    <w:multiLevelType w:val="singleLevel"/>
    <w:tmpl w:val="CC16DD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CA7233"/>
    <w:multiLevelType w:val="singleLevel"/>
    <w:tmpl w:val="0CFEA7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30188D"/>
    <w:multiLevelType w:val="singleLevel"/>
    <w:tmpl w:val="465A73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E6797D"/>
    <w:multiLevelType w:val="singleLevel"/>
    <w:tmpl w:val="028062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EA0AF1"/>
    <w:multiLevelType w:val="singleLevel"/>
    <w:tmpl w:val="4B6A84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EC66FD"/>
    <w:multiLevelType w:val="singleLevel"/>
    <w:tmpl w:val="E146FB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AAF7F02"/>
    <w:multiLevelType w:val="singleLevel"/>
    <w:tmpl w:val="5A5835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C054B06"/>
    <w:multiLevelType w:val="singleLevel"/>
    <w:tmpl w:val="97AAD0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D1F7E9E"/>
    <w:multiLevelType w:val="singleLevel"/>
    <w:tmpl w:val="70BA2A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E114FDF"/>
    <w:multiLevelType w:val="singleLevel"/>
    <w:tmpl w:val="DF36CB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2B029F8"/>
    <w:multiLevelType w:val="singleLevel"/>
    <w:tmpl w:val="4C908B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6E44B0A"/>
    <w:multiLevelType w:val="singleLevel"/>
    <w:tmpl w:val="BB58A9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5A7834"/>
    <w:multiLevelType w:val="singleLevel"/>
    <w:tmpl w:val="C34E39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6C22B7"/>
    <w:multiLevelType w:val="singleLevel"/>
    <w:tmpl w:val="93FA5A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A41465"/>
    <w:multiLevelType w:val="singleLevel"/>
    <w:tmpl w:val="269815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4A3C64"/>
    <w:multiLevelType w:val="singleLevel"/>
    <w:tmpl w:val="E0081D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B1135B"/>
    <w:multiLevelType w:val="singleLevel"/>
    <w:tmpl w:val="BED0A0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3FC304C"/>
    <w:multiLevelType w:val="singleLevel"/>
    <w:tmpl w:val="6F1AC3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10251A"/>
    <w:multiLevelType w:val="singleLevel"/>
    <w:tmpl w:val="8B1410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C702E5"/>
    <w:multiLevelType w:val="singleLevel"/>
    <w:tmpl w:val="6EAE6D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BD01DE"/>
    <w:multiLevelType w:val="singleLevel"/>
    <w:tmpl w:val="FD2AF05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B21480"/>
    <w:multiLevelType w:val="singleLevel"/>
    <w:tmpl w:val="3E34AA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712DCE"/>
    <w:multiLevelType w:val="singleLevel"/>
    <w:tmpl w:val="F8E4EE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2568F1"/>
    <w:multiLevelType w:val="singleLevel"/>
    <w:tmpl w:val="10F4CF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6E822E2"/>
    <w:multiLevelType w:val="singleLevel"/>
    <w:tmpl w:val="C2C8F6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4726C3"/>
    <w:multiLevelType w:val="singleLevel"/>
    <w:tmpl w:val="0CD21A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0C25AD"/>
    <w:multiLevelType w:val="singleLevel"/>
    <w:tmpl w:val="B63000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D41E77"/>
    <w:multiLevelType w:val="singleLevel"/>
    <w:tmpl w:val="2E8E5A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630200"/>
    <w:multiLevelType w:val="singleLevel"/>
    <w:tmpl w:val="E6C6E6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491DAA"/>
    <w:multiLevelType w:val="singleLevel"/>
    <w:tmpl w:val="002877D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D43E62"/>
    <w:multiLevelType w:val="singleLevel"/>
    <w:tmpl w:val="1A12739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C82DF9"/>
    <w:multiLevelType w:val="singleLevel"/>
    <w:tmpl w:val="1D464C1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72414B"/>
    <w:multiLevelType w:val="singleLevel"/>
    <w:tmpl w:val="F75AD8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5D413D"/>
    <w:multiLevelType w:val="singleLevel"/>
    <w:tmpl w:val="391C5C5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A12754"/>
    <w:multiLevelType w:val="singleLevel"/>
    <w:tmpl w:val="D41E29F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3B26BD"/>
    <w:multiLevelType w:val="singleLevel"/>
    <w:tmpl w:val="BCBCE90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CC53CD"/>
    <w:multiLevelType w:val="singleLevel"/>
    <w:tmpl w:val="8A623FB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670007"/>
    <w:multiLevelType w:val="singleLevel"/>
    <w:tmpl w:val="583E96E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7F1AAA"/>
    <w:multiLevelType w:val="singleLevel"/>
    <w:tmpl w:val="8BD2977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EA2B1F"/>
    <w:multiLevelType w:val="singleLevel"/>
    <w:tmpl w:val="31BECA8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131C93"/>
    <w:multiLevelType w:val="singleLevel"/>
    <w:tmpl w:val="99ACF25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7B83923"/>
    <w:multiLevelType w:val="singleLevel"/>
    <w:tmpl w:val="9564B95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577703"/>
    <w:multiLevelType w:val="singleLevel"/>
    <w:tmpl w:val="28CC9B8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E33E59"/>
    <w:multiLevelType w:val="singleLevel"/>
    <w:tmpl w:val="6A2478C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2C0503"/>
    <w:multiLevelType w:val="singleLevel"/>
    <w:tmpl w:val="A9BC192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D9268C"/>
    <w:multiLevelType w:val="singleLevel"/>
    <w:tmpl w:val="EAAA00D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33243F"/>
    <w:multiLevelType w:val="singleLevel"/>
    <w:tmpl w:val="CB6A56F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675212"/>
    <w:multiLevelType w:val="singleLevel"/>
    <w:tmpl w:val="F3800DC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A31021B"/>
    <w:multiLevelType w:val="singleLevel"/>
    <w:tmpl w:val="B748C4F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466684"/>
    <w:multiLevelType w:val="singleLevel"/>
    <w:tmpl w:val="2BC4530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6A71DD"/>
    <w:multiLevelType w:val="singleLevel"/>
    <w:tmpl w:val="67EAFC28"/>
    <w:lvl w:ilvl="0">
      <w:start w:val="1"/>
      <w:numFmt w:val="bullet"/>
      <w:lvlText w:val=""/>
      <w:lvlJc w:val="left"/>
      <w:pPr>
        <w:tabs>
          <w:tab w:val="num" w:pos="200"/>
        </w:tabs>
        <w:ind w:left="200" w:hanging="200"/>
      </w:pPr>
      <w:rPr>
        <w:rFonts w:ascii="Wingdings" w:hAnsi="Wingdings" w:hint="default"/>
        <w:sz w:val="16"/>
      </w:rPr>
    </w:lvl>
  </w:abstractNum>
  <w:num w:numId="1">
    <w:abstractNumId w:val="40"/>
  </w:num>
  <w:num w:numId="2">
    <w:abstractNumId w:val="48"/>
  </w:num>
  <w:num w:numId="3">
    <w:abstractNumId w:val="29"/>
  </w:num>
  <w:num w:numId="4">
    <w:abstractNumId w:val="33"/>
  </w:num>
  <w:num w:numId="5">
    <w:abstractNumId w:val="10"/>
  </w:num>
  <w:num w:numId="6">
    <w:abstractNumId w:val="0"/>
  </w:num>
  <w:num w:numId="7">
    <w:abstractNumId w:val="30"/>
  </w:num>
  <w:num w:numId="8">
    <w:abstractNumId w:val="18"/>
  </w:num>
  <w:num w:numId="9">
    <w:abstractNumId w:val="25"/>
  </w:num>
  <w:num w:numId="10">
    <w:abstractNumId w:val="53"/>
  </w:num>
  <w:num w:numId="11">
    <w:abstractNumId w:val="6"/>
  </w:num>
  <w:num w:numId="12">
    <w:abstractNumId w:val="20"/>
  </w:num>
  <w:num w:numId="13">
    <w:abstractNumId w:val="22"/>
  </w:num>
  <w:num w:numId="14">
    <w:abstractNumId w:val="52"/>
  </w:num>
  <w:num w:numId="15">
    <w:abstractNumId w:val="36"/>
  </w:num>
  <w:num w:numId="16">
    <w:abstractNumId w:val="37"/>
  </w:num>
  <w:num w:numId="17">
    <w:abstractNumId w:val="41"/>
  </w:num>
  <w:num w:numId="18">
    <w:abstractNumId w:val="35"/>
  </w:num>
  <w:num w:numId="19">
    <w:abstractNumId w:val="9"/>
  </w:num>
  <w:num w:numId="20">
    <w:abstractNumId w:val="50"/>
  </w:num>
  <w:num w:numId="21">
    <w:abstractNumId w:val="42"/>
  </w:num>
  <w:num w:numId="22">
    <w:abstractNumId w:val="12"/>
  </w:num>
  <w:num w:numId="23">
    <w:abstractNumId w:val="13"/>
  </w:num>
  <w:num w:numId="24">
    <w:abstractNumId w:val="31"/>
  </w:num>
  <w:num w:numId="25">
    <w:abstractNumId w:val="44"/>
  </w:num>
  <w:num w:numId="26">
    <w:abstractNumId w:val="43"/>
  </w:num>
  <w:num w:numId="27">
    <w:abstractNumId w:val="17"/>
  </w:num>
  <w:num w:numId="28">
    <w:abstractNumId w:val="28"/>
  </w:num>
  <w:num w:numId="29">
    <w:abstractNumId w:val="19"/>
  </w:num>
  <w:num w:numId="30">
    <w:abstractNumId w:val="5"/>
  </w:num>
  <w:num w:numId="31">
    <w:abstractNumId w:val="23"/>
  </w:num>
  <w:num w:numId="32">
    <w:abstractNumId w:val="46"/>
  </w:num>
  <w:num w:numId="33">
    <w:abstractNumId w:val="49"/>
  </w:num>
  <w:num w:numId="34">
    <w:abstractNumId w:val="7"/>
  </w:num>
  <w:num w:numId="35">
    <w:abstractNumId w:val="1"/>
  </w:num>
  <w:num w:numId="36">
    <w:abstractNumId w:val="15"/>
  </w:num>
  <w:num w:numId="37">
    <w:abstractNumId w:val="24"/>
  </w:num>
  <w:num w:numId="38">
    <w:abstractNumId w:val="8"/>
  </w:num>
  <w:num w:numId="39">
    <w:abstractNumId w:val="26"/>
  </w:num>
  <w:num w:numId="40">
    <w:abstractNumId w:val="38"/>
  </w:num>
  <w:num w:numId="41">
    <w:abstractNumId w:val="27"/>
  </w:num>
  <w:num w:numId="42">
    <w:abstractNumId w:val="11"/>
  </w:num>
  <w:num w:numId="43">
    <w:abstractNumId w:val="47"/>
  </w:num>
  <w:num w:numId="44">
    <w:abstractNumId w:val="32"/>
  </w:num>
  <w:num w:numId="45">
    <w:abstractNumId w:val="4"/>
  </w:num>
  <w:num w:numId="46">
    <w:abstractNumId w:val="3"/>
  </w:num>
  <w:num w:numId="47">
    <w:abstractNumId w:val="14"/>
  </w:num>
  <w:num w:numId="48">
    <w:abstractNumId w:val="21"/>
  </w:num>
  <w:num w:numId="49">
    <w:abstractNumId w:val="39"/>
  </w:num>
  <w:num w:numId="50">
    <w:abstractNumId w:val="51"/>
  </w:num>
  <w:num w:numId="51">
    <w:abstractNumId w:val="45"/>
  </w:num>
  <w:num w:numId="52">
    <w:abstractNumId w:val="34"/>
  </w:num>
  <w:num w:numId="53">
    <w:abstractNumId w:val="2"/>
  </w:num>
  <w:num w:numId="54">
    <w:abstractNumId w:val="1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E711E"/>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711E"/>
    <w:pPr>
      <w:spacing w:after="120"/>
    </w:pPr>
  </w:style>
  <w:style w:type="character" w:customStyle="1" w:styleId="af6">
    <w:name w:val="正文文本 字符"/>
    <w:basedOn w:val="a0"/>
    <w:link w:val="af5"/>
    <w:uiPriority w:val="99"/>
    <w:rsid w:val="003E711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382D2-3E7C-42FA-8C68-83057F32D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3430</Characters>
  <Application>Microsoft Office Word</Application>
  <DocSecurity>0</DocSecurity>
  <Lines>28</Lines>
  <Paragraphs>8</Paragraphs>
  <ScaleCrop>false</ScaleCrop>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2026-09-06T12:44:00Z</dcterms:created>
  <dcterms:modified xsi:type="dcterms:W3CDTF">2026-09-06T12:44:00Z</dcterms:modified>
</cp:coreProperties>
</file>