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9646DCF" w:rsidR="0049405C" w:rsidRPr="00187BAA" w:rsidRDefault="00EC2235" w:rsidP="00EC2235">
            <w:pPr>
              <w:spacing w:line="720" w:lineRule="auto"/>
              <w:rPr>
                <w:rFonts w:ascii="宋体" w:eastAsia="宋体" w:hAnsi="宋体"/>
                <w:color w:val="545551"/>
              </w:rPr>
            </w:pPr>
            <w:bookmarkStart w:id="0" w:name="xingming"/>
            <w:bookmarkStart w:id="1" w:name="_GoBack"/>
            <w:bookmarkEnd w:id="1"/>
            <w:r w:rsidRPr="00EC2235">
              <w:rPr>
                <w:rFonts w:ascii="宋体" w:eastAsia="宋体" w:hAnsi="Times New Roman" w:hint="eastAsia"/>
                <w:b/>
                <w:color w:val="000000"/>
                <w:sz w:val="48"/>
              </w:rPr>
              <w:t>谢郑</w:t>
            </w:r>
            <w:bookmarkEnd w:id="0"/>
          </w:p>
          <w:p w14:paraId="706EB16B" w14:textId="6CD54443" w:rsidR="0049405C" w:rsidRPr="00187BAA" w:rsidRDefault="00EC2235" w:rsidP="00EC2235">
            <w:pPr>
              <w:spacing w:line="360" w:lineRule="auto"/>
              <w:rPr>
                <w:rFonts w:ascii="宋体" w:eastAsia="宋体" w:hAnsi="宋体"/>
                <w:b/>
                <w:bCs/>
                <w:color w:val="545551"/>
              </w:rPr>
            </w:pPr>
            <w:bookmarkStart w:id="2" w:name="didian"/>
            <w:r w:rsidRPr="00EC2235">
              <w:rPr>
                <w:rFonts w:ascii="宋体" w:eastAsia="宋体" w:hAnsi="Times New Roman" w:hint="eastAsia"/>
                <w:b/>
                <w:bCs/>
                <w:color w:val="000000"/>
              </w:rPr>
              <w:t>合伙人·上海</w:t>
            </w:r>
            <w:bookmarkEnd w:id="2"/>
          </w:p>
          <w:p w14:paraId="6199424A" w14:textId="4CA8A2AB" w:rsidR="0049405C" w:rsidRPr="00187BAA" w:rsidRDefault="00EC2235" w:rsidP="00EC2235">
            <w:pPr>
              <w:spacing w:line="360" w:lineRule="auto"/>
              <w:rPr>
                <w:rFonts w:ascii="宋体" w:eastAsia="宋体" w:hAnsi="宋体"/>
                <w:color w:val="545551"/>
              </w:rPr>
            </w:pPr>
            <w:bookmarkStart w:id="3" w:name="dianhua"/>
            <w:r w:rsidRPr="00EC2235">
              <w:rPr>
                <w:rFonts w:ascii="宋体" w:eastAsia="宋体" w:hAnsi="Times New Roman"/>
                <w:color w:val="000000"/>
              </w:rPr>
              <w:t xml:space="preserve">+86 21 2208 1009 </w:t>
            </w:r>
            <w:bookmarkEnd w:id="3"/>
          </w:p>
          <w:p w14:paraId="4F910ACA" w14:textId="7C755C59" w:rsidR="0049405C" w:rsidRPr="00187BAA" w:rsidRDefault="00EC2235" w:rsidP="00EC2235">
            <w:pPr>
              <w:spacing w:line="360" w:lineRule="auto"/>
              <w:rPr>
                <w:rFonts w:ascii="宋体" w:eastAsia="宋体" w:hAnsi="宋体"/>
                <w:color w:val="000000"/>
              </w:rPr>
            </w:pPr>
            <w:bookmarkStart w:id="4" w:name="youxiang"/>
            <w:r w:rsidRPr="00EC2235">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D90E1A5" w:rsidR="0049405C" w:rsidRPr="00187BAA" w:rsidRDefault="00EC223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2D3DAC" wp14:editId="30BFDB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E486AED" w:rsidR="009465FB" w:rsidRPr="00187BAA" w:rsidRDefault="00EC2235" w:rsidP="007177F3">
            <w:pPr>
              <w:rPr>
                <w:rFonts w:ascii="宋体" w:eastAsia="宋体" w:hAnsi="宋体"/>
                <w:color w:val="000000"/>
                <w:szCs w:val="21"/>
              </w:rPr>
            </w:pPr>
            <w:bookmarkStart w:id="6" w:name="zhiyelingyu"/>
            <w:r w:rsidRPr="00EC2235">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EC2235">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C72BEB" w14:textId="77777777" w:rsidR="00EC223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E31E4D5" w14:textId="77777777" w:rsidR="00EC2235" w:rsidRDefault="00EC2235" w:rsidP="00EC2235">
      <w:pPr>
        <w:pStyle w:val="af5"/>
        <w:spacing w:after="0" w:line="480" w:lineRule="auto"/>
        <w:rPr>
          <w:rFonts w:ascii="宋体" w:eastAsia="宋体" w:hAnsi="宋体"/>
          <w:b/>
          <w:sz w:val="24"/>
        </w:rPr>
      </w:pPr>
      <w:r w:rsidRPr="00EC2235">
        <w:rPr>
          <w:rFonts w:ascii="宋体" w:eastAsia="宋体" w:hAnsi="宋体" w:hint="eastAsia"/>
          <w:b/>
          <w:sz w:val="24"/>
        </w:rPr>
        <w:t>近期代理的主要案件</w:t>
      </w:r>
    </w:p>
    <w:p w14:paraId="033E6E75" w14:textId="77777777" w:rsidR="00EC2235" w:rsidRDefault="00EC2235" w:rsidP="00EC2235">
      <w:pPr>
        <w:pStyle w:val="af5"/>
        <w:spacing w:before="120"/>
        <w:rPr>
          <w:rFonts w:ascii="宋体" w:eastAsia="宋体" w:hAnsi="Times New Roman"/>
          <w:color w:val="000000"/>
        </w:rPr>
      </w:pPr>
      <w:r w:rsidRPr="00EC2235">
        <w:rPr>
          <w:rFonts w:ascii="宋体" w:eastAsia="宋体" w:hAnsi="Times New Roman" w:hint="eastAsia"/>
          <w:color w:val="000000"/>
        </w:rPr>
        <w:t>融资领域的代表性交易</w:t>
      </w:r>
    </w:p>
    <w:p w14:paraId="78EBAC3E" w14:textId="77777777" w:rsidR="00EC2235" w:rsidRDefault="00EC2235" w:rsidP="00EC2235">
      <w:pPr>
        <w:pStyle w:val="af5"/>
        <w:numPr>
          <w:ilvl w:val="0"/>
          <w:numId w:val="4"/>
        </w:numPr>
        <w:spacing w:before="120"/>
        <w:ind w:left="690" w:hanging="240"/>
        <w:rPr>
          <w:rFonts w:ascii="宋体" w:eastAsia="宋体" w:hAnsi="Times New Roman"/>
          <w:color w:val="000000"/>
        </w:rPr>
      </w:pPr>
      <w:r w:rsidRPr="00EC2235">
        <w:rPr>
          <w:rFonts w:ascii="宋体" w:eastAsia="宋体" w:hAnsi="Times New Roman" w:hint="eastAsia"/>
          <w:color w:val="000000"/>
        </w:rPr>
        <w:t>代表招商银行牵头的银团向广州富力地产股份有限公司下属子公司提供</w:t>
      </w:r>
      <w:r w:rsidRPr="00EC2235">
        <w:rPr>
          <w:rFonts w:ascii="宋体" w:eastAsia="宋体" w:hAnsi="Times New Roman"/>
          <w:color w:val="000000"/>
        </w:rPr>
        <w:t>119.4亿元人民币贷款，用于收购大连万达旗下77家酒店资产</w:t>
      </w:r>
    </w:p>
    <w:p w14:paraId="3011DC1C" w14:textId="77777777" w:rsidR="00EC2235" w:rsidRDefault="00EC2235" w:rsidP="00EC2235">
      <w:pPr>
        <w:pStyle w:val="af5"/>
        <w:numPr>
          <w:ilvl w:val="0"/>
          <w:numId w:val="5"/>
        </w:numPr>
        <w:spacing w:before="120"/>
        <w:ind w:left="690" w:hanging="240"/>
        <w:rPr>
          <w:rFonts w:ascii="宋体" w:eastAsia="宋体" w:hAnsi="Times New Roman"/>
          <w:color w:val="000000"/>
        </w:rPr>
      </w:pPr>
      <w:r w:rsidRPr="00EC2235">
        <w:rPr>
          <w:rFonts w:ascii="宋体" w:eastAsia="宋体" w:hAnsi="Times New Roman" w:hint="eastAsia"/>
          <w:color w:val="000000"/>
        </w:rPr>
        <w:t>代表</w:t>
      </w:r>
      <w:r w:rsidRPr="00EC2235">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2736BB43" w14:textId="77777777" w:rsidR="00EC2235" w:rsidRDefault="00EC2235" w:rsidP="00EC2235">
      <w:pPr>
        <w:pStyle w:val="af5"/>
        <w:numPr>
          <w:ilvl w:val="0"/>
          <w:numId w:val="6"/>
        </w:numPr>
        <w:spacing w:before="120"/>
        <w:ind w:left="690" w:hanging="240"/>
        <w:rPr>
          <w:rFonts w:ascii="宋体" w:eastAsia="宋体" w:hAnsi="Times New Roman"/>
          <w:color w:val="000000"/>
        </w:rPr>
      </w:pPr>
      <w:r w:rsidRPr="00EC2235">
        <w:rPr>
          <w:rFonts w:ascii="宋体" w:eastAsia="宋体" w:hAnsi="Times New Roman" w:hint="eastAsia"/>
          <w:color w:val="000000"/>
        </w:rPr>
        <w:t>代表</w:t>
      </w:r>
      <w:r w:rsidRPr="00EC2235">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4FE5EC03" w14:textId="77777777" w:rsidR="00EC2235" w:rsidRDefault="00EC2235" w:rsidP="00EC2235">
      <w:pPr>
        <w:pStyle w:val="af5"/>
        <w:numPr>
          <w:ilvl w:val="0"/>
          <w:numId w:val="7"/>
        </w:numPr>
        <w:spacing w:before="120"/>
        <w:ind w:left="690" w:hanging="240"/>
        <w:rPr>
          <w:rFonts w:ascii="宋体" w:eastAsia="宋体" w:hAnsi="Times New Roman"/>
          <w:color w:val="000000"/>
        </w:rPr>
      </w:pPr>
      <w:r w:rsidRPr="00EC2235">
        <w:rPr>
          <w:rFonts w:ascii="宋体" w:eastAsia="宋体" w:hAnsi="Times New Roman" w:hint="eastAsia"/>
          <w:color w:val="000000"/>
        </w:rPr>
        <w:t>代表以周鸿祎为代表的买方团</w:t>
      </w:r>
      <w:r w:rsidRPr="00EC2235">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7044224D" w14:textId="77777777" w:rsidR="00EC2235" w:rsidRDefault="00EC2235" w:rsidP="00EC2235">
      <w:pPr>
        <w:pStyle w:val="af5"/>
        <w:numPr>
          <w:ilvl w:val="0"/>
          <w:numId w:val="8"/>
        </w:numPr>
        <w:spacing w:before="120"/>
        <w:ind w:left="690" w:hanging="240"/>
        <w:rPr>
          <w:rFonts w:ascii="宋体" w:eastAsia="宋体" w:hAnsi="Times New Roman"/>
          <w:color w:val="000000"/>
        </w:rPr>
      </w:pPr>
      <w:r w:rsidRPr="00EC2235">
        <w:rPr>
          <w:rFonts w:ascii="宋体" w:eastAsia="宋体" w:hAnsi="Times New Roman" w:hint="eastAsia"/>
          <w:color w:val="000000"/>
        </w:rPr>
        <w:t>代表</w:t>
      </w:r>
      <w:r w:rsidRPr="00EC2235">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41268922" w14:textId="77777777" w:rsidR="00EC2235" w:rsidRDefault="00EC2235" w:rsidP="00EC2235">
      <w:pPr>
        <w:pStyle w:val="af5"/>
        <w:numPr>
          <w:ilvl w:val="0"/>
          <w:numId w:val="9"/>
        </w:numPr>
        <w:spacing w:before="120"/>
        <w:ind w:left="690" w:hanging="240"/>
        <w:rPr>
          <w:rFonts w:ascii="宋体" w:eastAsia="宋体" w:hAnsi="Times New Roman"/>
          <w:color w:val="000000"/>
        </w:rPr>
      </w:pPr>
      <w:r w:rsidRPr="00EC2235">
        <w:rPr>
          <w:rFonts w:ascii="宋体" w:eastAsia="宋体" w:hAnsi="Times New Roman" w:hint="eastAsia"/>
          <w:color w:val="000000"/>
        </w:rPr>
        <w:t>代表招商银行参与其安排的三笔总金额为</w:t>
      </w:r>
      <w:r w:rsidRPr="00EC2235">
        <w:rPr>
          <w:rFonts w:ascii="宋体" w:eastAsia="宋体" w:hAnsi="Times New Roman"/>
          <w:color w:val="000000"/>
        </w:rPr>
        <w:t>27,000,000,000港币的定期贷款，用于提供给大连万达集团在境外设立的三家特殊目的公司用于大连万达商业地产H股私有化</w:t>
      </w:r>
    </w:p>
    <w:p w14:paraId="53A109A3" w14:textId="77777777" w:rsidR="00EC2235" w:rsidRDefault="00EC2235" w:rsidP="00EC2235">
      <w:pPr>
        <w:pStyle w:val="af5"/>
        <w:numPr>
          <w:ilvl w:val="0"/>
          <w:numId w:val="10"/>
        </w:numPr>
        <w:spacing w:before="120"/>
        <w:ind w:left="690" w:hanging="240"/>
        <w:rPr>
          <w:rFonts w:ascii="宋体" w:eastAsia="宋体" w:hAnsi="Times New Roman"/>
          <w:color w:val="000000"/>
        </w:rPr>
      </w:pPr>
      <w:r w:rsidRPr="00EC2235">
        <w:rPr>
          <w:rFonts w:ascii="宋体" w:eastAsia="宋体" w:hAnsi="Times New Roman" w:hint="eastAsia"/>
          <w:color w:val="000000"/>
        </w:rPr>
        <w:t>代表招商银行参与其向许氏家族在境外设立的特殊目的公司提供的</w:t>
      </w:r>
      <w:r w:rsidRPr="00EC2235">
        <w:rPr>
          <w:rFonts w:ascii="宋体" w:eastAsia="宋体" w:hAnsi="Times New Roman"/>
          <w:color w:val="000000"/>
        </w:rPr>
        <w:t>2,500,000,000港币的定期贷款，用于匹克体育的港股私有化</w:t>
      </w:r>
    </w:p>
    <w:p w14:paraId="198FCE9C" w14:textId="77777777" w:rsidR="00EC2235" w:rsidRDefault="00EC2235" w:rsidP="00EC2235">
      <w:pPr>
        <w:pStyle w:val="af5"/>
        <w:numPr>
          <w:ilvl w:val="0"/>
          <w:numId w:val="11"/>
        </w:numPr>
        <w:spacing w:before="120"/>
        <w:ind w:left="690" w:hanging="240"/>
        <w:rPr>
          <w:rFonts w:ascii="宋体" w:eastAsia="宋体" w:hAnsi="Times New Roman"/>
          <w:color w:val="000000"/>
        </w:rPr>
      </w:pPr>
      <w:r w:rsidRPr="00EC2235">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EC2235">
        <w:rPr>
          <w:rFonts w:ascii="宋体" w:eastAsia="宋体" w:hAnsi="Times New Roman"/>
          <w:color w:val="000000"/>
        </w:rPr>
        <w:t>, 为分众传媒控股有限公司(纳斯达克代码: FMCN)私有化项目15.25 亿美元银团贷款协议提供法律建议并起草相关法律文件</w:t>
      </w:r>
    </w:p>
    <w:p w14:paraId="043F5A13" w14:textId="77777777" w:rsidR="00EC2235" w:rsidRDefault="00EC2235" w:rsidP="00EC2235">
      <w:pPr>
        <w:pStyle w:val="af5"/>
        <w:numPr>
          <w:ilvl w:val="0"/>
          <w:numId w:val="12"/>
        </w:numPr>
        <w:spacing w:before="120"/>
        <w:ind w:left="690" w:hanging="240"/>
        <w:rPr>
          <w:rFonts w:ascii="宋体" w:eastAsia="宋体" w:hAnsi="Times New Roman"/>
          <w:color w:val="000000"/>
        </w:rPr>
      </w:pPr>
      <w:r w:rsidRPr="00EC2235">
        <w:rPr>
          <w:rFonts w:ascii="宋体" w:eastAsia="宋体" w:hAnsi="Times New Roman" w:hint="eastAsia"/>
          <w:color w:val="000000"/>
        </w:rPr>
        <w:t>代表</w:t>
      </w:r>
      <w:r w:rsidRPr="00EC2235">
        <w:rPr>
          <w:rFonts w:ascii="宋体" w:eastAsia="宋体" w:hAnsi="Times New Roman"/>
          <w:color w:val="000000"/>
        </w:rPr>
        <w:t>CVC Asia Pacific Limited及其分支机构参与其向摩根大通银行香港分行安排的银团借取118,000,000美元贷款，用于收购一家国际教育集团</w:t>
      </w:r>
    </w:p>
    <w:p w14:paraId="2361191D" w14:textId="77777777" w:rsidR="00EC2235" w:rsidRDefault="00EC2235" w:rsidP="00EC2235">
      <w:pPr>
        <w:pStyle w:val="af5"/>
        <w:numPr>
          <w:ilvl w:val="0"/>
          <w:numId w:val="13"/>
        </w:numPr>
        <w:spacing w:before="120"/>
        <w:ind w:left="690" w:hanging="240"/>
        <w:rPr>
          <w:rFonts w:ascii="宋体" w:eastAsia="宋体" w:hAnsi="Times New Roman"/>
          <w:color w:val="000000"/>
        </w:rPr>
      </w:pPr>
      <w:r w:rsidRPr="00EC2235">
        <w:rPr>
          <w:rFonts w:ascii="宋体" w:eastAsia="宋体" w:hAnsi="Times New Roman" w:hint="eastAsia"/>
          <w:color w:val="000000"/>
        </w:rPr>
        <w:t>代表中国银行澳门分行参与其向鼎晖旗下的</w:t>
      </w:r>
      <w:r w:rsidRPr="00EC2235">
        <w:rPr>
          <w:rFonts w:ascii="宋体" w:eastAsia="宋体" w:hAnsi="Times New Roman"/>
          <w:color w:val="000000"/>
        </w:rPr>
        <w:t>CDH Giant Health (HK) Limited提供的320,000,000美元定期贷款，用于收购福建南平南孚电池有限公司的股权</w:t>
      </w:r>
    </w:p>
    <w:p w14:paraId="67B89586" w14:textId="77777777" w:rsidR="00EC2235" w:rsidRDefault="00EC2235" w:rsidP="00EC2235">
      <w:pPr>
        <w:pStyle w:val="af5"/>
        <w:spacing w:before="120"/>
        <w:rPr>
          <w:rFonts w:ascii="宋体" w:eastAsia="宋体" w:hAnsi="Times New Roman"/>
          <w:color w:val="000000"/>
        </w:rPr>
      </w:pPr>
      <w:r w:rsidRPr="00EC2235">
        <w:rPr>
          <w:rFonts w:ascii="宋体" w:eastAsia="宋体" w:hAnsi="Times New Roman" w:hint="eastAsia"/>
          <w:color w:val="000000"/>
        </w:rPr>
        <w:t>收购兼并领域的代表交易</w:t>
      </w:r>
    </w:p>
    <w:p w14:paraId="134752D7" w14:textId="77777777" w:rsidR="00EC2235" w:rsidRDefault="00EC2235" w:rsidP="00EC2235">
      <w:pPr>
        <w:pStyle w:val="af5"/>
        <w:numPr>
          <w:ilvl w:val="0"/>
          <w:numId w:val="14"/>
        </w:numPr>
        <w:spacing w:before="120"/>
        <w:ind w:left="690" w:hanging="240"/>
        <w:rPr>
          <w:rFonts w:ascii="宋体" w:eastAsia="宋体" w:hAnsi="Times New Roman"/>
          <w:color w:val="000000"/>
        </w:rPr>
      </w:pPr>
      <w:r w:rsidRPr="00EC2235">
        <w:rPr>
          <w:rFonts w:ascii="宋体" w:eastAsia="宋体" w:hAnsi="Times New Roman" w:hint="eastAsia"/>
          <w:color w:val="000000"/>
        </w:rPr>
        <w:t>代表德国拜尔公司（</w:t>
      </w:r>
      <w:r w:rsidRPr="00EC2235">
        <w:rPr>
          <w:rFonts w:ascii="宋体" w:eastAsia="宋体" w:hAnsi="Times New Roman"/>
          <w:color w:val="000000"/>
        </w:rPr>
        <w:t>Bayer）为其收购一家中国主要非处方药和中医药生产商昆明滇虹药业有限公司100%股份提供法律服务</w:t>
      </w:r>
    </w:p>
    <w:p w14:paraId="6D35E8CD" w14:textId="77777777" w:rsidR="00EC2235" w:rsidRDefault="00EC2235" w:rsidP="00EC2235">
      <w:pPr>
        <w:pStyle w:val="af5"/>
        <w:numPr>
          <w:ilvl w:val="0"/>
          <w:numId w:val="15"/>
        </w:numPr>
        <w:spacing w:before="120"/>
        <w:ind w:left="690" w:hanging="240"/>
        <w:rPr>
          <w:rFonts w:ascii="宋体" w:eastAsia="宋体" w:hAnsi="Times New Roman"/>
          <w:color w:val="000000"/>
        </w:rPr>
      </w:pPr>
      <w:r w:rsidRPr="00EC2235">
        <w:rPr>
          <w:rFonts w:ascii="宋体" w:eastAsia="宋体" w:hAnsi="Times New Roman" w:hint="eastAsia"/>
          <w:color w:val="000000"/>
        </w:rPr>
        <w:t>代表联合利华为其收购一家饮水机和净化器业务领导者沁园集团股份有限公司股份提供法律服务</w:t>
      </w:r>
    </w:p>
    <w:p w14:paraId="3BAD5BA2" w14:textId="77777777" w:rsidR="00EC2235" w:rsidRDefault="00EC2235" w:rsidP="00EC2235">
      <w:pPr>
        <w:pStyle w:val="af5"/>
        <w:numPr>
          <w:ilvl w:val="0"/>
          <w:numId w:val="16"/>
        </w:numPr>
        <w:spacing w:before="120"/>
        <w:ind w:left="690" w:hanging="240"/>
        <w:rPr>
          <w:rFonts w:ascii="宋体" w:eastAsia="宋体" w:hAnsi="Times New Roman"/>
          <w:color w:val="000000"/>
        </w:rPr>
      </w:pPr>
      <w:r w:rsidRPr="00EC2235">
        <w:rPr>
          <w:rFonts w:ascii="宋体" w:eastAsia="宋体" w:hAnsi="Times New Roman" w:hint="eastAsia"/>
          <w:color w:val="000000"/>
        </w:rPr>
        <w:t>代表美国百特公司（</w:t>
      </w:r>
      <w:r w:rsidRPr="00EC2235">
        <w:rPr>
          <w:rFonts w:ascii="宋体" w:eastAsia="宋体" w:hAnsi="Times New Roman"/>
          <w:color w:val="000000"/>
        </w:rPr>
        <w:t>Baxter）为其投资一家中国领先肠道营养产品公司提供法律服务</w:t>
      </w:r>
    </w:p>
    <w:p w14:paraId="113B9376" w14:textId="77777777" w:rsidR="00EC2235" w:rsidRDefault="00EC2235" w:rsidP="00EC2235">
      <w:pPr>
        <w:pStyle w:val="af5"/>
        <w:numPr>
          <w:ilvl w:val="0"/>
          <w:numId w:val="17"/>
        </w:numPr>
        <w:spacing w:before="120"/>
        <w:ind w:left="690" w:hanging="240"/>
        <w:rPr>
          <w:rFonts w:ascii="宋体" w:eastAsia="宋体" w:hAnsi="Times New Roman"/>
          <w:color w:val="000000"/>
        </w:rPr>
      </w:pPr>
      <w:r w:rsidRPr="00EC2235">
        <w:rPr>
          <w:rFonts w:ascii="宋体" w:eastAsia="宋体" w:hAnsi="Times New Roman" w:hint="eastAsia"/>
          <w:color w:val="000000"/>
        </w:rPr>
        <w:t>代表德国拜尔公司（</w:t>
      </w:r>
      <w:r w:rsidRPr="00EC2235">
        <w:rPr>
          <w:rFonts w:ascii="宋体" w:eastAsia="宋体" w:hAnsi="Times New Roman"/>
          <w:color w:val="000000"/>
        </w:rPr>
        <w:t>Bayer）为建立并重组其在中国的投资企业提供法律服务</w:t>
      </w:r>
    </w:p>
    <w:p w14:paraId="7860CFC6" w14:textId="77777777" w:rsidR="00EC2235" w:rsidRDefault="00EC2235" w:rsidP="00EC2235">
      <w:pPr>
        <w:pStyle w:val="af5"/>
        <w:numPr>
          <w:ilvl w:val="0"/>
          <w:numId w:val="18"/>
        </w:numPr>
        <w:spacing w:before="120"/>
        <w:ind w:left="690" w:hanging="240"/>
        <w:rPr>
          <w:rFonts w:ascii="宋体" w:eastAsia="宋体" w:hAnsi="Times New Roman"/>
          <w:color w:val="000000"/>
        </w:rPr>
      </w:pPr>
      <w:r w:rsidRPr="00EC2235">
        <w:rPr>
          <w:rFonts w:ascii="宋体" w:eastAsia="宋体" w:hAnsi="Times New Roman" w:hint="eastAsia"/>
          <w:color w:val="000000"/>
        </w:rPr>
        <w:t>代表</w:t>
      </w:r>
      <w:r w:rsidRPr="00EC2235">
        <w:rPr>
          <w:rFonts w:ascii="宋体" w:eastAsia="宋体" w:hAnsi="Times New Roman"/>
          <w:color w:val="000000"/>
        </w:rPr>
        <w:t>CCMP/联宇投资（Unitas Capital）为其收购一家中国领先环保公司提供法律服务</w:t>
      </w:r>
    </w:p>
    <w:p w14:paraId="37DCBBAE" w14:textId="77777777" w:rsidR="00EC2235" w:rsidRDefault="00EC2235" w:rsidP="00EC2235">
      <w:pPr>
        <w:pStyle w:val="af5"/>
        <w:numPr>
          <w:ilvl w:val="0"/>
          <w:numId w:val="19"/>
        </w:numPr>
        <w:spacing w:before="120"/>
        <w:ind w:left="690" w:hanging="240"/>
        <w:rPr>
          <w:rFonts w:ascii="宋体" w:eastAsia="宋体" w:hAnsi="Times New Roman"/>
          <w:color w:val="000000"/>
        </w:rPr>
      </w:pPr>
      <w:r w:rsidRPr="00EC2235">
        <w:rPr>
          <w:rFonts w:ascii="宋体" w:eastAsia="宋体" w:hAnsi="Times New Roman" w:hint="eastAsia"/>
          <w:color w:val="000000"/>
        </w:rPr>
        <w:t>代表高盛直接投资部门（</w:t>
      </w:r>
      <w:r w:rsidRPr="00EC2235">
        <w:rPr>
          <w:rFonts w:ascii="宋体" w:eastAsia="宋体" w:hAnsi="Times New Roman"/>
          <w:color w:val="000000"/>
        </w:rPr>
        <w:t>Goldman Sachs PIA）为其股权投资一家中国领先船运公司提供法律服务</w:t>
      </w:r>
    </w:p>
    <w:p w14:paraId="1D4D4617" w14:textId="77777777" w:rsidR="00EC2235" w:rsidRDefault="00EC2235" w:rsidP="00EC2235">
      <w:pPr>
        <w:pStyle w:val="af5"/>
        <w:numPr>
          <w:ilvl w:val="0"/>
          <w:numId w:val="20"/>
        </w:numPr>
        <w:spacing w:before="120"/>
        <w:ind w:left="690" w:hanging="240"/>
        <w:rPr>
          <w:rFonts w:ascii="宋体" w:eastAsia="宋体" w:hAnsi="Times New Roman"/>
          <w:color w:val="000000"/>
        </w:rPr>
      </w:pPr>
      <w:r w:rsidRPr="00EC2235">
        <w:rPr>
          <w:rFonts w:ascii="宋体" w:eastAsia="宋体" w:hAnsi="Times New Roman" w:hint="eastAsia"/>
          <w:color w:val="000000"/>
        </w:rPr>
        <w:t>代表代表凯德集团（</w:t>
      </w:r>
      <w:r w:rsidRPr="00EC2235">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7AF64F41" w14:textId="77777777" w:rsidR="00EC2235" w:rsidRDefault="00EC2235" w:rsidP="00EC2235">
      <w:pPr>
        <w:pStyle w:val="af5"/>
        <w:numPr>
          <w:ilvl w:val="0"/>
          <w:numId w:val="21"/>
        </w:numPr>
        <w:spacing w:before="120"/>
        <w:ind w:left="690" w:hanging="240"/>
        <w:rPr>
          <w:rFonts w:ascii="宋体" w:eastAsia="宋体" w:hAnsi="Times New Roman"/>
          <w:color w:val="000000"/>
        </w:rPr>
      </w:pPr>
      <w:r w:rsidRPr="00EC2235">
        <w:rPr>
          <w:rFonts w:ascii="宋体" w:eastAsia="宋体" w:hAnsi="Times New Roman" w:hint="eastAsia"/>
          <w:color w:val="000000"/>
        </w:rPr>
        <w:t>代表美国百事集团（</w:t>
      </w:r>
      <w:r w:rsidRPr="00EC2235">
        <w:rPr>
          <w:rFonts w:ascii="宋体" w:eastAsia="宋体" w:hAnsi="Times New Roman"/>
          <w:color w:val="000000"/>
        </w:rPr>
        <w:t>Pepsi）为其在上海建立亚洲研发物流中心项目提供法律服务</w:t>
      </w:r>
    </w:p>
    <w:p w14:paraId="0AAF378D" w14:textId="77777777" w:rsidR="00EC2235" w:rsidRDefault="00EC2235" w:rsidP="00EC2235">
      <w:pPr>
        <w:pStyle w:val="af5"/>
        <w:numPr>
          <w:ilvl w:val="0"/>
          <w:numId w:val="22"/>
        </w:numPr>
        <w:spacing w:before="120"/>
        <w:ind w:left="690" w:hanging="240"/>
        <w:rPr>
          <w:rFonts w:ascii="宋体" w:eastAsia="宋体" w:hAnsi="Times New Roman"/>
          <w:color w:val="000000"/>
        </w:rPr>
      </w:pPr>
      <w:r w:rsidRPr="00EC2235">
        <w:rPr>
          <w:rFonts w:ascii="宋体" w:eastAsia="宋体" w:hAnsi="Times New Roman" w:hint="eastAsia"/>
          <w:color w:val="000000"/>
        </w:rPr>
        <w:t>代表阿斯利康（</w:t>
      </w:r>
      <w:r w:rsidRPr="00EC2235">
        <w:rPr>
          <w:rFonts w:ascii="宋体" w:eastAsia="宋体" w:hAnsi="Times New Roman"/>
          <w:color w:val="000000"/>
        </w:rPr>
        <w:t>AstraZeneca）为其在中国建立一家新的药物生产厂提供法律服务</w:t>
      </w:r>
    </w:p>
    <w:p w14:paraId="438B88D8" w14:textId="77777777" w:rsidR="00EC2235" w:rsidRDefault="00EC2235" w:rsidP="00EC2235">
      <w:pPr>
        <w:pStyle w:val="af5"/>
        <w:numPr>
          <w:ilvl w:val="0"/>
          <w:numId w:val="23"/>
        </w:numPr>
        <w:spacing w:before="120"/>
        <w:ind w:left="690" w:hanging="240"/>
        <w:rPr>
          <w:rFonts w:ascii="宋体" w:eastAsia="宋体" w:hAnsi="Times New Roman"/>
          <w:color w:val="000000"/>
        </w:rPr>
      </w:pPr>
      <w:r w:rsidRPr="00EC2235">
        <w:rPr>
          <w:rFonts w:ascii="宋体" w:eastAsia="宋体" w:hAnsi="Times New Roman" w:hint="eastAsia"/>
          <w:color w:val="000000"/>
        </w:rPr>
        <w:t>代表美国迈威尔半导体公司（</w:t>
      </w:r>
      <w:r w:rsidRPr="00EC2235">
        <w:rPr>
          <w:rFonts w:ascii="宋体" w:eastAsia="宋体" w:hAnsi="Times New Roman"/>
          <w:color w:val="000000"/>
        </w:rPr>
        <w:t>Marvell Semiconductor）为其位于张江的新建高科技园区项目提供法律服务</w:t>
      </w:r>
    </w:p>
    <w:p w14:paraId="11116E7C" w14:textId="77777777" w:rsidR="00EC2235" w:rsidRDefault="00EC2235" w:rsidP="00EC2235">
      <w:pPr>
        <w:pStyle w:val="af5"/>
        <w:numPr>
          <w:ilvl w:val="0"/>
          <w:numId w:val="24"/>
        </w:numPr>
        <w:spacing w:before="120"/>
        <w:ind w:left="690" w:hanging="240"/>
        <w:rPr>
          <w:rFonts w:ascii="宋体" w:eastAsia="宋体" w:hAnsi="Times New Roman"/>
          <w:color w:val="000000"/>
        </w:rPr>
      </w:pPr>
      <w:r w:rsidRPr="00EC2235">
        <w:rPr>
          <w:rFonts w:ascii="宋体" w:eastAsia="宋体" w:hAnsi="Times New Roman" w:hint="eastAsia"/>
          <w:color w:val="000000"/>
        </w:rPr>
        <w:t>代表许多国际领先的私募股权基金在中国市场进行投资及兼并收购业务</w:t>
      </w:r>
    </w:p>
    <w:p w14:paraId="430B2CEF" w14:textId="77777777" w:rsidR="00EC2235" w:rsidRDefault="00EC2235" w:rsidP="00EC2235">
      <w:pPr>
        <w:pStyle w:val="af5"/>
        <w:numPr>
          <w:ilvl w:val="0"/>
          <w:numId w:val="25"/>
        </w:numPr>
        <w:spacing w:before="120"/>
        <w:ind w:left="690" w:hanging="240"/>
        <w:rPr>
          <w:rFonts w:ascii="宋体" w:eastAsia="宋体" w:hAnsi="Times New Roman"/>
          <w:color w:val="000000"/>
        </w:rPr>
      </w:pPr>
      <w:r w:rsidRPr="00EC2235">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63C79B2B" w14:textId="77777777" w:rsidR="00EC2235" w:rsidRDefault="00EC2235" w:rsidP="00EC2235">
      <w:pPr>
        <w:pStyle w:val="af5"/>
        <w:spacing w:before="120"/>
        <w:rPr>
          <w:rFonts w:ascii="宋体" w:eastAsia="宋体" w:hAnsi="Times New Roman"/>
          <w:color w:val="000000"/>
        </w:rPr>
      </w:pPr>
      <w:r w:rsidRPr="00EC2235">
        <w:rPr>
          <w:rFonts w:ascii="宋体" w:eastAsia="宋体" w:hAnsi="Times New Roman" w:hint="eastAsia"/>
          <w:color w:val="000000"/>
        </w:rPr>
        <w:t>重组和破产方面的代表交易</w:t>
      </w:r>
    </w:p>
    <w:p w14:paraId="7077BA9F" w14:textId="77777777" w:rsidR="00EC2235" w:rsidRDefault="00EC2235" w:rsidP="00EC2235">
      <w:pPr>
        <w:pStyle w:val="af5"/>
        <w:numPr>
          <w:ilvl w:val="0"/>
          <w:numId w:val="26"/>
        </w:numPr>
        <w:spacing w:before="120"/>
        <w:ind w:left="690" w:hanging="240"/>
        <w:rPr>
          <w:rFonts w:ascii="宋体" w:eastAsia="宋体" w:hAnsi="Times New Roman"/>
          <w:color w:val="000000"/>
        </w:rPr>
      </w:pPr>
      <w:r w:rsidRPr="00EC2235">
        <w:rPr>
          <w:rFonts w:ascii="宋体" w:eastAsia="宋体" w:hAnsi="Times New Roman" w:hint="eastAsia"/>
          <w:color w:val="000000"/>
        </w:rPr>
        <w:t>代表由中国银行江苏省分行牵头的金融机构债权人委员会处理雨润集团债务重组事宜</w:t>
      </w:r>
    </w:p>
    <w:p w14:paraId="38E074E1" w14:textId="77777777" w:rsidR="00EC2235" w:rsidRDefault="00EC2235" w:rsidP="00EC2235">
      <w:pPr>
        <w:pStyle w:val="af5"/>
        <w:numPr>
          <w:ilvl w:val="0"/>
          <w:numId w:val="27"/>
        </w:numPr>
        <w:spacing w:before="120"/>
        <w:ind w:left="690" w:hanging="240"/>
        <w:rPr>
          <w:rFonts w:ascii="宋体" w:eastAsia="宋体" w:hAnsi="Times New Roman"/>
          <w:color w:val="000000"/>
        </w:rPr>
      </w:pPr>
      <w:r w:rsidRPr="00EC2235">
        <w:rPr>
          <w:rFonts w:ascii="宋体" w:eastAsia="宋体" w:hAnsi="Times New Roman" w:hint="eastAsia"/>
          <w:color w:val="000000"/>
        </w:rPr>
        <w:t>代表由南京银行和中信银行牵头的金融机构债权人委员会处理三胞集团债务重组事宜</w:t>
      </w:r>
    </w:p>
    <w:p w14:paraId="0C067C99" w14:textId="77777777" w:rsidR="00EC2235" w:rsidRDefault="00EC2235" w:rsidP="00EC2235">
      <w:pPr>
        <w:pStyle w:val="af5"/>
        <w:numPr>
          <w:ilvl w:val="0"/>
          <w:numId w:val="28"/>
        </w:numPr>
        <w:spacing w:before="120"/>
        <w:ind w:left="690" w:hanging="240"/>
        <w:rPr>
          <w:rFonts w:ascii="宋体" w:eastAsia="宋体" w:hAnsi="Times New Roman"/>
          <w:color w:val="000000"/>
        </w:rPr>
      </w:pPr>
      <w:r w:rsidRPr="00EC2235">
        <w:rPr>
          <w:rFonts w:ascii="宋体" w:eastAsia="宋体" w:hAnsi="Times New Roman" w:hint="eastAsia"/>
          <w:color w:val="000000"/>
        </w:rPr>
        <w:t>代表由中信银行牵头的金融机构债权人委员会处理丰盛集团债务重组事宜</w:t>
      </w:r>
    </w:p>
    <w:p w14:paraId="15021686" w14:textId="77777777" w:rsidR="00EC2235" w:rsidRDefault="00EC2235" w:rsidP="00EC2235">
      <w:pPr>
        <w:pStyle w:val="af5"/>
        <w:numPr>
          <w:ilvl w:val="0"/>
          <w:numId w:val="29"/>
        </w:numPr>
        <w:spacing w:before="120"/>
        <w:ind w:left="690" w:hanging="240"/>
        <w:rPr>
          <w:rFonts w:ascii="宋体" w:eastAsia="宋体" w:hAnsi="Times New Roman"/>
          <w:color w:val="000000"/>
        </w:rPr>
      </w:pPr>
      <w:r w:rsidRPr="00EC2235">
        <w:rPr>
          <w:rFonts w:ascii="宋体" w:eastAsia="宋体" w:hAnsi="Times New Roman" w:hint="eastAsia"/>
          <w:color w:val="000000"/>
        </w:rPr>
        <w:t>代表由花旗银行牵头的银团贷款人以及其委任的行政接管人</w:t>
      </w:r>
      <w:r w:rsidRPr="00EC2235">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7923CC1A" w14:textId="77777777" w:rsidR="00EC2235" w:rsidRDefault="00EC2235" w:rsidP="00EC2235">
      <w:pPr>
        <w:pStyle w:val="af5"/>
        <w:numPr>
          <w:ilvl w:val="0"/>
          <w:numId w:val="30"/>
        </w:numPr>
        <w:spacing w:before="120"/>
        <w:ind w:left="690" w:hanging="240"/>
        <w:rPr>
          <w:rFonts w:ascii="宋体" w:eastAsia="宋体" w:hAnsi="Times New Roman"/>
          <w:color w:val="000000"/>
        </w:rPr>
      </w:pPr>
      <w:r w:rsidRPr="00EC2235">
        <w:rPr>
          <w:rFonts w:ascii="宋体" w:eastAsia="宋体" w:hAnsi="Times New Roman" w:hint="eastAsia"/>
          <w:color w:val="000000"/>
        </w:rPr>
        <w:t>代表某银团贷款人向一家中国房地产开发公司发放金额为</w:t>
      </w:r>
      <w:r w:rsidRPr="00EC2235">
        <w:rPr>
          <w:rFonts w:ascii="宋体" w:eastAsia="宋体" w:hAnsi="Times New Roman"/>
          <w:color w:val="000000"/>
        </w:rPr>
        <w:t>6亿美元的重组贷款</w:t>
      </w:r>
    </w:p>
    <w:p w14:paraId="38A86965" w14:textId="77777777" w:rsidR="00EC2235" w:rsidRDefault="00EC2235" w:rsidP="00EC2235">
      <w:pPr>
        <w:pStyle w:val="af5"/>
        <w:numPr>
          <w:ilvl w:val="0"/>
          <w:numId w:val="31"/>
        </w:numPr>
        <w:spacing w:before="120"/>
        <w:ind w:left="690" w:hanging="240"/>
        <w:rPr>
          <w:rFonts w:ascii="宋体" w:eastAsia="宋体" w:hAnsi="Times New Roman"/>
          <w:color w:val="000000"/>
        </w:rPr>
      </w:pPr>
      <w:r w:rsidRPr="00EC2235">
        <w:rPr>
          <w:rFonts w:ascii="宋体" w:eastAsia="宋体" w:hAnsi="Times New Roman" w:hint="eastAsia"/>
          <w:color w:val="000000"/>
        </w:rPr>
        <w:t>代表花旗银行牵头的银团贷款机构，为</w:t>
      </w:r>
      <w:r w:rsidRPr="00EC2235">
        <w:rPr>
          <w:rFonts w:ascii="宋体" w:eastAsia="宋体" w:hAnsi="Times New Roman"/>
          <w:color w:val="000000"/>
        </w:rPr>
        <w:t>CIT在中国的子公司发放30亿元人民币的重组贷款</w:t>
      </w:r>
    </w:p>
    <w:p w14:paraId="6708AE8B" w14:textId="77777777" w:rsidR="00EC2235" w:rsidRDefault="00EC2235" w:rsidP="00EC2235">
      <w:pPr>
        <w:pStyle w:val="af5"/>
        <w:spacing w:after="0" w:line="480" w:lineRule="auto"/>
        <w:rPr>
          <w:rFonts w:ascii="宋体" w:eastAsia="宋体" w:hAnsi="宋体"/>
          <w:b/>
          <w:sz w:val="24"/>
        </w:rPr>
      </w:pPr>
      <w:r w:rsidRPr="00EC2235">
        <w:rPr>
          <w:rFonts w:ascii="宋体" w:eastAsia="宋体" w:hAnsi="宋体" w:hint="eastAsia"/>
          <w:b/>
          <w:sz w:val="24"/>
        </w:rPr>
        <w:t>教育背景</w:t>
      </w:r>
    </w:p>
    <w:p w14:paraId="48F27C60" w14:textId="77777777" w:rsidR="00EC2235" w:rsidRDefault="00EC2235" w:rsidP="00EC2235">
      <w:pPr>
        <w:pStyle w:val="af5"/>
        <w:numPr>
          <w:ilvl w:val="0"/>
          <w:numId w:val="32"/>
        </w:numPr>
        <w:spacing w:before="120"/>
        <w:ind w:left="690" w:hanging="240"/>
        <w:rPr>
          <w:rFonts w:ascii="宋体" w:eastAsia="宋体" w:hAnsi="Times New Roman"/>
          <w:color w:val="000000"/>
        </w:rPr>
      </w:pPr>
      <w:r w:rsidRPr="00EC2235">
        <w:rPr>
          <w:rFonts w:ascii="宋体" w:eastAsia="宋体" w:hAnsi="Times New Roman" w:hint="eastAsia"/>
          <w:color w:val="000000"/>
        </w:rPr>
        <w:t>北京大学法律系，学士学位</w:t>
      </w:r>
    </w:p>
    <w:p w14:paraId="166FB7AC" w14:textId="77777777" w:rsidR="00EC2235" w:rsidRDefault="00EC2235" w:rsidP="00EC2235">
      <w:pPr>
        <w:pStyle w:val="af5"/>
        <w:numPr>
          <w:ilvl w:val="0"/>
          <w:numId w:val="33"/>
        </w:numPr>
        <w:spacing w:before="120"/>
        <w:ind w:left="690" w:hanging="240"/>
        <w:rPr>
          <w:rFonts w:ascii="宋体" w:eastAsia="宋体" w:hAnsi="Times New Roman"/>
          <w:color w:val="000000"/>
        </w:rPr>
      </w:pPr>
      <w:r w:rsidRPr="00EC2235">
        <w:rPr>
          <w:rFonts w:ascii="宋体" w:eastAsia="宋体" w:hAnsi="Times New Roman" w:hint="eastAsia"/>
          <w:color w:val="000000"/>
        </w:rPr>
        <w:t>英格兰及威尔士法律学院，</w:t>
      </w:r>
      <w:r w:rsidRPr="00EC2235">
        <w:rPr>
          <w:rFonts w:ascii="宋体" w:eastAsia="宋体" w:hAnsi="Times New Roman"/>
          <w:color w:val="000000"/>
        </w:rPr>
        <w:t>CPE和LPC</w:t>
      </w:r>
    </w:p>
    <w:p w14:paraId="0897198A" w14:textId="77777777" w:rsidR="00EC2235" w:rsidRDefault="00EC2235" w:rsidP="00EC2235">
      <w:pPr>
        <w:pStyle w:val="af5"/>
        <w:spacing w:after="0" w:line="480" w:lineRule="auto"/>
        <w:rPr>
          <w:rFonts w:ascii="宋体" w:eastAsia="宋体" w:hAnsi="宋体"/>
          <w:b/>
          <w:sz w:val="24"/>
        </w:rPr>
      </w:pPr>
      <w:r w:rsidRPr="00EC2235">
        <w:rPr>
          <w:rFonts w:ascii="宋体" w:eastAsia="宋体" w:hAnsi="宋体" w:hint="eastAsia"/>
          <w:b/>
          <w:sz w:val="24"/>
        </w:rPr>
        <w:t>执业资格</w:t>
      </w:r>
    </w:p>
    <w:p w14:paraId="79242822" w14:textId="77777777" w:rsidR="00EC2235" w:rsidRDefault="00EC2235" w:rsidP="00EC2235">
      <w:pPr>
        <w:pStyle w:val="af5"/>
        <w:numPr>
          <w:ilvl w:val="0"/>
          <w:numId w:val="34"/>
        </w:numPr>
        <w:spacing w:before="120"/>
        <w:ind w:left="690" w:hanging="240"/>
        <w:rPr>
          <w:rFonts w:ascii="宋体" w:eastAsia="宋体" w:hAnsi="Times New Roman"/>
          <w:color w:val="000000"/>
        </w:rPr>
      </w:pPr>
      <w:r w:rsidRPr="00EC2235">
        <w:rPr>
          <w:rFonts w:ascii="宋体" w:eastAsia="宋体" w:hAnsi="Times New Roman" w:hint="eastAsia"/>
          <w:color w:val="000000"/>
        </w:rPr>
        <w:t>中华人民共和国执业律师</w:t>
      </w:r>
    </w:p>
    <w:p w14:paraId="7398BF86" w14:textId="77777777" w:rsidR="00EC2235" w:rsidRDefault="00EC2235" w:rsidP="00EC2235">
      <w:pPr>
        <w:pStyle w:val="af5"/>
        <w:numPr>
          <w:ilvl w:val="0"/>
          <w:numId w:val="35"/>
        </w:numPr>
        <w:spacing w:before="120"/>
        <w:ind w:left="690" w:hanging="240"/>
        <w:rPr>
          <w:rFonts w:ascii="宋体" w:eastAsia="宋体" w:hAnsi="Times New Roman"/>
          <w:color w:val="000000"/>
        </w:rPr>
      </w:pPr>
      <w:r w:rsidRPr="00EC2235">
        <w:rPr>
          <w:rFonts w:ascii="宋体" w:eastAsia="宋体" w:hAnsi="Times New Roman" w:hint="eastAsia"/>
          <w:color w:val="000000"/>
        </w:rPr>
        <w:t>英格兰及威尔士律师资格</w:t>
      </w:r>
    </w:p>
    <w:p w14:paraId="1A7FE353" w14:textId="77777777" w:rsidR="00EC2235" w:rsidRDefault="00EC2235" w:rsidP="00EC2235">
      <w:pPr>
        <w:pStyle w:val="af5"/>
        <w:spacing w:after="0" w:line="480" w:lineRule="auto"/>
        <w:rPr>
          <w:rFonts w:ascii="宋体" w:eastAsia="宋体" w:hAnsi="宋体"/>
          <w:b/>
          <w:sz w:val="24"/>
        </w:rPr>
      </w:pPr>
      <w:r w:rsidRPr="00EC2235">
        <w:rPr>
          <w:rFonts w:ascii="宋体" w:eastAsia="宋体" w:hAnsi="宋体" w:hint="eastAsia"/>
          <w:b/>
          <w:sz w:val="24"/>
        </w:rPr>
        <w:t>职业背景</w:t>
      </w:r>
    </w:p>
    <w:p w14:paraId="0626DBA0" w14:textId="77777777" w:rsidR="00EC2235" w:rsidRDefault="00EC2235" w:rsidP="00EC2235">
      <w:pPr>
        <w:pStyle w:val="af5"/>
        <w:numPr>
          <w:ilvl w:val="0"/>
          <w:numId w:val="36"/>
        </w:numPr>
        <w:spacing w:before="120"/>
        <w:ind w:left="690" w:hanging="240"/>
        <w:rPr>
          <w:rFonts w:ascii="宋体" w:eastAsia="宋体" w:hAnsi="Times New Roman"/>
          <w:color w:val="000000"/>
        </w:rPr>
      </w:pPr>
      <w:r w:rsidRPr="00EC2235">
        <w:rPr>
          <w:rFonts w:ascii="宋体" w:eastAsia="宋体" w:hAnsi="Times New Roman" w:hint="eastAsia"/>
          <w:color w:val="000000"/>
        </w:rPr>
        <w:t>谢律师于</w:t>
      </w:r>
      <w:r w:rsidRPr="00EC2235">
        <w:rPr>
          <w:rFonts w:ascii="宋体" w:eastAsia="宋体" w:hAnsi="Times New Roman"/>
          <w:color w:val="000000"/>
        </w:rPr>
        <w:t>2004年作为合伙人加入方达律师事务所。1996年至2004年间, 谢律师在英国高伟绅律师事务所(Clifford Chance LLP)执业。</w:t>
      </w:r>
    </w:p>
    <w:p w14:paraId="014D0DF4" w14:textId="77777777" w:rsidR="00EC2235" w:rsidRDefault="00EC2235" w:rsidP="00EC2235">
      <w:pPr>
        <w:pStyle w:val="af5"/>
        <w:spacing w:after="0" w:line="480" w:lineRule="auto"/>
        <w:rPr>
          <w:rFonts w:ascii="宋体" w:eastAsia="宋体" w:hAnsi="宋体"/>
          <w:b/>
          <w:sz w:val="24"/>
        </w:rPr>
      </w:pPr>
      <w:r w:rsidRPr="00EC2235">
        <w:rPr>
          <w:rFonts w:ascii="宋体" w:eastAsia="宋体" w:hAnsi="宋体" w:hint="eastAsia"/>
          <w:b/>
          <w:sz w:val="24"/>
        </w:rPr>
        <w:t>其他信息</w:t>
      </w:r>
    </w:p>
    <w:p w14:paraId="6D28B8A6" w14:textId="77777777" w:rsidR="00EC2235" w:rsidRDefault="00EC2235" w:rsidP="00EC2235">
      <w:pPr>
        <w:pStyle w:val="af5"/>
        <w:spacing w:after="0" w:line="480" w:lineRule="auto"/>
        <w:rPr>
          <w:rFonts w:ascii="宋体" w:eastAsia="宋体" w:hAnsi="宋体"/>
          <w:b/>
          <w:sz w:val="24"/>
        </w:rPr>
      </w:pPr>
      <w:r w:rsidRPr="00EC2235">
        <w:rPr>
          <w:rFonts w:ascii="宋体" w:eastAsia="宋体" w:hAnsi="宋体" w:hint="eastAsia"/>
          <w:b/>
          <w:sz w:val="24"/>
        </w:rPr>
        <w:t>获奖情况</w:t>
      </w:r>
    </w:p>
    <w:p w14:paraId="4F0A196B" w14:textId="229474C1" w:rsidR="00A46A04" w:rsidRPr="00EC2235" w:rsidRDefault="00EC2235" w:rsidP="00EC2235">
      <w:pPr>
        <w:pStyle w:val="af5"/>
        <w:numPr>
          <w:ilvl w:val="0"/>
          <w:numId w:val="37"/>
        </w:numPr>
        <w:spacing w:before="120"/>
        <w:ind w:left="690" w:hanging="240"/>
        <w:rPr>
          <w:rFonts w:ascii="宋体" w:eastAsia="宋体" w:hAnsi="Times New Roman"/>
          <w:color w:val="000000"/>
        </w:rPr>
      </w:pPr>
      <w:r w:rsidRPr="00EC2235">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EC223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507F2"/>
    <w:multiLevelType w:val="singleLevel"/>
    <w:tmpl w:val="9092AE1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9DD09B9"/>
    <w:multiLevelType w:val="singleLevel"/>
    <w:tmpl w:val="0B9A79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AB129A"/>
    <w:multiLevelType w:val="singleLevel"/>
    <w:tmpl w:val="E5DEFF6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FA90448"/>
    <w:multiLevelType w:val="singleLevel"/>
    <w:tmpl w:val="2124C3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333B6B"/>
    <w:multiLevelType w:val="singleLevel"/>
    <w:tmpl w:val="BCBE64A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9E5193D"/>
    <w:multiLevelType w:val="singleLevel"/>
    <w:tmpl w:val="D58842B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AD80791"/>
    <w:multiLevelType w:val="singleLevel"/>
    <w:tmpl w:val="BD0E63E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7C03FE"/>
    <w:multiLevelType w:val="singleLevel"/>
    <w:tmpl w:val="9BDAA54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1275B9C"/>
    <w:multiLevelType w:val="singleLevel"/>
    <w:tmpl w:val="59AC9E2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45072B"/>
    <w:multiLevelType w:val="singleLevel"/>
    <w:tmpl w:val="689EE94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89E3A6F"/>
    <w:multiLevelType w:val="singleLevel"/>
    <w:tmpl w:val="2FCCEC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0918B8"/>
    <w:multiLevelType w:val="singleLevel"/>
    <w:tmpl w:val="0D2A4DF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CF3A99"/>
    <w:multiLevelType w:val="singleLevel"/>
    <w:tmpl w:val="95E294E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C3A43EB"/>
    <w:multiLevelType w:val="singleLevel"/>
    <w:tmpl w:val="F2E25C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4B67E3"/>
    <w:multiLevelType w:val="singleLevel"/>
    <w:tmpl w:val="3ECC8E1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8B4DD1"/>
    <w:multiLevelType w:val="singleLevel"/>
    <w:tmpl w:val="8BFCE92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B3483E"/>
    <w:multiLevelType w:val="singleLevel"/>
    <w:tmpl w:val="F46A360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7D7535A"/>
    <w:multiLevelType w:val="singleLevel"/>
    <w:tmpl w:val="0D0E23D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B9D04AB"/>
    <w:multiLevelType w:val="singleLevel"/>
    <w:tmpl w:val="E72AF25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824571"/>
    <w:multiLevelType w:val="singleLevel"/>
    <w:tmpl w:val="63C61FD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D07A62"/>
    <w:multiLevelType w:val="singleLevel"/>
    <w:tmpl w:val="DEE2369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010E80"/>
    <w:multiLevelType w:val="singleLevel"/>
    <w:tmpl w:val="7B34D96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DEB5839"/>
    <w:multiLevelType w:val="singleLevel"/>
    <w:tmpl w:val="EF3672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3893B5A"/>
    <w:multiLevelType w:val="singleLevel"/>
    <w:tmpl w:val="CEAC2A7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6A051C"/>
    <w:multiLevelType w:val="singleLevel"/>
    <w:tmpl w:val="C804F01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4B423CA"/>
    <w:multiLevelType w:val="singleLevel"/>
    <w:tmpl w:val="6BB20D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8C92F85"/>
    <w:multiLevelType w:val="singleLevel"/>
    <w:tmpl w:val="1520CD3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8D0310F"/>
    <w:multiLevelType w:val="singleLevel"/>
    <w:tmpl w:val="75E656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4C4706"/>
    <w:multiLevelType w:val="singleLevel"/>
    <w:tmpl w:val="689EE94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9AD5C46"/>
    <w:multiLevelType w:val="singleLevel"/>
    <w:tmpl w:val="D134544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CE26F0C"/>
    <w:multiLevelType w:val="singleLevel"/>
    <w:tmpl w:val="CE2C0C5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FC23E36"/>
    <w:multiLevelType w:val="singleLevel"/>
    <w:tmpl w:val="DC1227DA"/>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290053"/>
    <w:multiLevelType w:val="singleLevel"/>
    <w:tmpl w:val="0E4E3E4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D016491"/>
    <w:multiLevelType w:val="singleLevel"/>
    <w:tmpl w:val="2F4249C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69672B"/>
    <w:multiLevelType w:val="singleLevel"/>
    <w:tmpl w:val="CB46B400"/>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3"/>
  </w:num>
  <w:num w:numId="3">
    <w:abstractNumId w:val="19"/>
  </w:num>
  <w:num w:numId="4">
    <w:abstractNumId w:val="12"/>
  </w:num>
  <w:num w:numId="5">
    <w:abstractNumId w:val="4"/>
  </w:num>
  <w:num w:numId="6">
    <w:abstractNumId w:val="3"/>
  </w:num>
  <w:num w:numId="7">
    <w:abstractNumId w:val="28"/>
  </w:num>
  <w:num w:numId="8">
    <w:abstractNumId w:val="26"/>
  </w:num>
  <w:num w:numId="9">
    <w:abstractNumId w:val="20"/>
  </w:num>
  <w:num w:numId="10">
    <w:abstractNumId w:val="18"/>
  </w:num>
  <w:num w:numId="11">
    <w:abstractNumId w:val="15"/>
  </w:num>
  <w:num w:numId="12">
    <w:abstractNumId w:val="21"/>
  </w:num>
  <w:num w:numId="13">
    <w:abstractNumId w:val="5"/>
  </w:num>
  <w:num w:numId="14">
    <w:abstractNumId w:val="16"/>
  </w:num>
  <w:num w:numId="15">
    <w:abstractNumId w:val="2"/>
  </w:num>
  <w:num w:numId="16">
    <w:abstractNumId w:val="36"/>
  </w:num>
  <w:num w:numId="17">
    <w:abstractNumId w:val="29"/>
  </w:num>
  <w:num w:numId="18">
    <w:abstractNumId w:val="17"/>
  </w:num>
  <w:num w:numId="19">
    <w:abstractNumId w:val="34"/>
  </w:num>
  <w:num w:numId="20">
    <w:abstractNumId w:val="24"/>
  </w:num>
  <w:num w:numId="21">
    <w:abstractNumId w:val="32"/>
  </w:num>
  <w:num w:numId="22">
    <w:abstractNumId w:val="14"/>
  </w:num>
  <w:num w:numId="23">
    <w:abstractNumId w:val="27"/>
  </w:num>
  <w:num w:numId="24">
    <w:abstractNumId w:val="22"/>
  </w:num>
  <w:num w:numId="25">
    <w:abstractNumId w:val="9"/>
  </w:num>
  <w:num w:numId="26">
    <w:abstractNumId w:val="25"/>
  </w:num>
  <w:num w:numId="27">
    <w:abstractNumId w:val="7"/>
  </w:num>
  <w:num w:numId="28">
    <w:abstractNumId w:val="23"/>
  </w:num>
  <w:num w:numId="29">
    <w:abstractNumId w:val="31"/>
  </w:num>
  <w:num w:numId="30">
    <w:abstractNumId w:val="35"/>
  </w:num>
  <w:num w:numId="31">
    <w:abstractNumId w:val="11"/>
  </w:num>
  <w:num w:numId="32">
    <w:abstractNumId w:val="33"/>
  </w:num>
  <w:num w:numId="33">
    <w:abstractNumId w:val="6"/>
  </w:num>
  <w:num w:numId="34">
    <w:abstractNumId w:val="0"/>
  </w:num>
  <w:num w:numId="35">
    <w:abstractNumId w:val="1"/>
  </w:num>
  <w:num w:numId="36">
    <w:abstractNumId w:val="10"/>
  </w:num>
  <w:num w:numId="3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EC2235"/>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C2235"/>
    <w:pPr>
      <w:spacing w:after="120"/>
    </w:pPr>
  </w:style>
  <w:style w:type="character" w:customStyle="1" w:styleId="af6">
    <w:name w:val="正文文本 字符"/>
    <w:basedOn w:val="a0"/>
    <w:link w:val="af5"/>
    <w:uiPriority w:val="99"/>
    <w:rsid w:val="00EC223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88C472-1685-456A-B82C-BC1472EE1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2026-09-06T12:45:00Z</dcterms:created>
  <dcterms:modified xsi:type="dcterms:W3CDTF">2026-09-06T12:45:00Z</dcterms:modified>
</cp:coreProperties>
</file>