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7F76751F" w:rsidR="0049405C" w:rsidRPr="00187BAA" w:rsidRDefault="004F6F91" w:rsidP="004F6F91">
            <w:pPr>
              <w:spacing w:line="720" w:lineRule="auto"/>
              <w:rPr>
                <w:rFonts w:ascii="宋体" w:eastAsia="宋体" w:hAnsi="宋体"/>
                <w:color w:val="545551"/>
              </w:rPr>
            </w:pPr>
            <w:bookmarkStart w:id="0" w:name="xingming"/>
            <w:bookmarkStart w:id="1" w:name="_GoBack"/>
            <w:bookmarkEnd w:id="1"/>
            <w:r w:rsidRPr="004F6F91">
              <w:rPr>
                <w:rFonts w:ascii="宋体" w:eastAsia="宋体" w:hAnsi="Times New Roman" w:hint="eastAsia"/>
                <w:b/>
                <w:color w:val="000000"/>
                <w:sz w:val="48"/>
              </w:rPr>
              <w:t>张钺</w:t>
            </w:r>
            <w:bookmarkEnd w:id="0"/>
          </w:p>
          <w:p w14:paraId="706EB16B" w14:textId="7E782DCE" w:rsidR="0049405C" w:rsidRPr="00187BAA" w:rsidRDefault="004F6F91" w:rsidP="004F6F91">
            <w:pPr>
              <w:spacing w:line="360" w:lineRule="auto"/>
              <w:rPr>
                <w:rFonts w:ascii="宋体" w:eastAsia="宋体" w:hAnsi="宋体"/>
                <w:b/>
                <w:bCs/>
                <w:color w:val="545551"/>
              </w:rPr>
            </w:pPr>
            <w:bookmarkStart w:id="2" w:name="didian"/>
            <w:r w:rsidRPr="004F6F91">
              <w:rPr>
                <w:rFonts w:ascii="宋体" w:eastAsia="宋体" w:hAnsi="Times New Roman" w:hint="eastAsia"/>
                <w:b/>
                <w:bCs/>
                <w:color w:val="000000"/>
              </w:rPr>
              <w:t>注册外地律师（美国纽约）·香港</w:t>
            </w:r>
            <w:bookmarkEnd w:id="2"/>
          </w:p>
          <w:p w14:paraId="6199424A" w14:textId="6382284D" w:rsidR="0049405C" w:rsidRPr="00187BAA" w:rsidRDefault="004F6F91" w:rsidP="004F6F91">
            <w:pPr>
              <w:spacing w:line="360" w:lineRule="auto"/>
              <w:rPr>
                <w:rFonts w:ascii="宋体" w:eastAsia="宋体" w:hAnsi="宋体"/>
                <w:color w:val="545551"/>
              </w:rPr>
            </w:pPr>
            <w:bookmarkStart w:id="3" w:name="dianhua"/>
            <w:r w:rsidRPr="004F6F91">
              <w:rPr>
                <w:rFonts w:ascii="宋体" w:eastAsia="宋体" w:hAnsi="Times New Roman"/>
                <w:color w:val="000000"/>
              </w:rPr>
              <w:t xml:space="preserve">+852 9652 6124 / +86 19896512186 </w:t>
            </w:r>
            <w:bookmarkEnd w:id="3"/>
          </w:p>
          <w:p w14:paraId="4F910ACA" w14:textId="1351048B" w:rsidR="0049405C" w:rsidRPr="00187BAA" w:rsidRDefault="004F6F91" w:rsidP="004F6F91">
            <w:pPr>
              <w:spacing w:line="360" w:lineRule="auto"/>
              <w:rPr>
                <w:rFonts w:ascii="宋体" w:eastAsia="宋体" w:hAnsi="宋体"/>
                <w:color w:val="000000"/>
              </w:rPr>
            </w:pPr>
            <w:bookmarkStart w:id="4" w:name="youxiang"/>
            <w:r w:rsidRPr="004F6F91">
              <w:rPr>
                <w:rFonts w:ascii="宋体" w:eastAsia="宋体" w:hAnsi="Times New Roman"/>
                <w:color w:val="000000"/>
              </w:rPr>
              <w:t>yue.zhang@fangdalaw.com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4BCBB993" w:rsidR="0049405C" w:rsidRPr="00187BAA" w:rsidRDefault="004F6F91"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619B2347" wp14:editId="545B2F2D">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2627F18F" w:rsidR="009465FB" w:rsidRPr="00187BAA" w:rsidRDefault="004F6F91" w:rsidP="007177F3">
            <w:pPr>
              <w:rPr>
                <w:rFonts w:ascii="宋体" w:eastAsia="宋体" w:hAnsi="宋体"/>
                <w:color w:val="000000"/>
                <w:szCs w:val="21"/>
              </w:rPr>
            </w:pPr>
            <w:bookmarkStart w:id="6" w:name="zhiyelingyu"/>
            <w:r w:rsidRPr="004F6F91">
              <w:rPr>
                <w:rFonts w:ascii="宋体" w:eastAsia="宋体" w:hAnsi="Times New Roman" w:hint="eastAsia"/>
                <w:color w:val="000000"/>
                <w:szCs w:val="21"/>
              </w:rPr>
              <w:t>张钺律师主要从事私募股权及资产管理，专注于美元基金设立及监管事务。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80A423C" w14:textId="77777777" w:rsidR="004F6F91"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5DC8984" w14:textId="77777777" w:rsidR="004F6F91" w:rsidRDefault="004F6F91" w:rsidP="004F6F91">
      <w:pPr>
        <w:pStyle w:val="af5"/>
        <w:spacing w:after="0" w:line="480" w:lineRule="auto"/>
        <w:rPr>
          <w:rFonts w:ascii="宋体" w:eastAsia="宋体" w:hAnsi="宋体"/>
          <w:b/>
          <w:sz w:val="24"/>
        </w:rPr>
      </w:pPr>
      <w:r w:rsidRPr="004F6F91">
        <w:rPr>
          <w:rFonts w:ascii="宋体" w:eastAsia="宋体" w:hAnsi="宋体" w:hint="eastAsia"/>
          <w:b/>
          <w:sz w:val="24"/>
        </w:rPr>
        <w:t>近期代理的主要案件</w:t>
      </w:r>
    </w:p>
    <w:p w14:paraId="6F735B6B" w14:textId="77777777" w:rsidR="004F6F91" w:rsidRDefault="004F6F91" w:rsidP="004F6F91">
      <w:pPr>
        <w:pStyle w:val="af5"/>
        <w:spacing w:before="120"/>
        <w:rPr>
          <w:rFonts w:ascii="宋体" w:eastAsia="宋体" w:hAnsi="Times New Roman"/>
          <w:color w:val="000000"/>
        </w:rPr>
      </w:pPr>
      <w:r w:rsidRPr="004F6F91">
        <w:rPr>
          <w:rFonts w:ascii="宋体" w:eastAsia="宋体" w:hAnsi="Times New Roman" w:hint="eastAsia"/>
          <w:color w:val="000000"/>
        </w:rPr>
        <w:t>代表基金发起人</w:t>
      </w:r>
    </w:p>
    <w:p w14:paraId="2253B9F4" w14:textId="77777777" w:rsidR="004F6F91" w:rsidRDefault="004F6F91" w:rsidP="004F6F91">
      <w:pPr>
        <w:pStyle w:val="af5"/>
        <w:numPr>
          <w:ilvl w:val="0"/>
          <w:numId w:val="4"/>
        </w:numPr>
        <w:spacing w:before="120"/>
        <w:ind w:left="690" w:hanging="240"/>
        <w:rPr>
          <w:rFonts w:ascii="宋体" w:eastAsia="宋体" w:hAnsi="Times New Roman"/>
          <w:color w:val="000000"/>
        </w:rPr>
      </w:pPr>
      <w:r w:rsidRPr="004F6F91">
        <w:rPr>
          <w:rFonts w:ascii="宋体" w:eastAsia="宋体" w:hAnsi="Times New Roman" w:hint="eastAsia"/>
          <w:color w:val="000000"/>
        </w:rPr>
        <w:t>代表中金资本（</w:t>
      </w:r>
      <w:r w:rsidRPr="004F6F91">
        <w:rPr>
          <w:rFonts w:ascii="宋体" w:eastAsia="宋体" w:hAnsi="Times New Roman"/>
          <w:color w:val="000000"/>
        </w:rPr>
        <w:t>CICC Capital）及德太集团（TPG）设立具美元/人民币双币架构的中国协同投资平台，该投资平台专注于中国及海外的投资机会</w:t>
      </w:r>
    </w:p>
    <w:p w14:paraId="35F408A1" w14:textId="77777777" w:rsidR="004F6F91" w:rsidRDefault="004F6F91" w:rsidP="004F6F91">
      <w:pPr>
        <w:pStyle w:val="af5"/>
        <w:numPr>
          <w:ilvl w:val="0"/>
          <w:numId w:val="5"/>
        </w:numPr>
        <w:spacing w:before="120"/>
        <w:ind w:left="690" w:hanging="240"/>
        <w:rPr>
          <w:rFonts w:ascii="宋体" w:eastAsia="宋体" w:hAnsi="Times New Roman"/>
          <w:color w:val="000000"/>
        </w:rPr>
      </w:pPr>
      <w:r w:rsidRPr="004F6F91">
        <w:rPr>
          <w:rFonts w:ascii="宋体" w:eastAsia="宋体" w:hAnsi="Times New Roman" w:hint="eastAsia"/>
          <w:color w:val="000000"/>
        </w:rPr>
        <w:t>代表君联资本设立一支私募股权基金</w:t>
      </w:r>
    </w:p>
    <w:p w14:paraId="65A202B7" w14:textId="77777777" w:rsidR="004F6F91" w:rsidRDefault="004F6F91" w:rsidP="004F6F91">
      <w:pPr>
        <w:pStyle w:val="af5"/>
        <w:numPr>
          <w:ilvl w:val="0"/>
          <w:numId w:val="6"/>
        </w:numPr>
        <w:spacing w:before="120"/>
        <w:ind w:left="690" w:hanging="240"/>
        <w:rPr>
          <w:rFonts w:ascii="宋体" w:eastAsia="宋体" w:hAnsi="Times New Roman"/>
          <w:color w:val="000000"/>
        </w:rPr>
      </w:pPr>
      <w:r w:rsidRPr="004F6F91">
        <w:rPr>
          <w:rFonts w:ascii="宋体" w:eastAsia="宋体" w:hAnsi="Times New Roman" w:hint="eastAsia"/>
          <w:color w:val="000000"/>
        </w:rPr>
        <w:t>代表黑石（</w:t>
      </w:r>
      <w:r w:rsidRPr="004F6F91">
        <w:rPr>
          <w:rFonts w:ascii="宋体" w:eastAsia="宋体" w:hAnsi="Times New Roman"/>
          <w:color w:val="000000"/>
        </w:rPr>
        <w:t>Black stone）设立多支专注于投资房地产相关的债务产品的基金及独立管理账户，其总规模超过100亿美元</w:t>
      </w:r>
    </w:p>
    <w:p w14:paraId="619A5C9B" w14:textId="77777777" w:rsidR="004F6F91" w:rsidRDefault="004F6F91" w:rsidP="004F6F91">
      <w:pPr>
        <w:pStyle w:val="af5"/>
        <w:numPr>
          <w:ilvl w:val="0"/>
          <w:numId w:val="7"/>
        </w:numPr>
        <w:spacing w:before="120"/>
        <w:ind w:left="690" w:hanging="240"/>
        <w:rPr>
          <w:rFonts w:ascii="宋体" w:eastAsia="宋体" w:hAnsi="Times New Roman"/>
          <w:color w:val="000000"/>
        </w:rPr>
      </w:pPr>
      <w:r w:rsidRPr="004F6F91">
        <w:rPr>
          <w:rFonts w:ascii="宋体" w:eastAsia="宋体" w:hAnsi="Times New Roman" w:hint="eastAsia"/>
          <w:color w:val="000000"/>
        </w:rPr>
        <w:t>代表凯雷（</w:t>
      </w:r>
      <w:r w:rsidRPr="004F6F91">
        <w:rPr>
          <w:rFonts w:ascii="宋体" w:eastAsia="宋体" w:hAnsi="Times New Roman"/>
          <w:color w:val="000000"/>
        </w:rPr>
        <w:t>Carlyle）设立一个专注于投资能源资产的管理账户</w:t>
      </w:r>
    </w:p>
    <w:p w14:paraId="08C5776F" w14:textId="77777777" w:rsidR="004F6F91" w:rsidRDefault="004F6F91" w:rsidP="004F6F91">
      <w:pPr>
        <w:pStyle w:val="af5"/>
        <w:numPr>
          <w:ilvl w:val="0"/>
          <w:numId w:val="8"/>
        </w:numPr>
        <w:spacing w:before="120"/>
        <w:ind w:left="690" w:hanging="240"/>
        <w:rPr>
          <w:rFonts w:ascii="宋体" w:eastAsia="宋体" w:hAnsi="Times New Roman"/>
          <w:color w:val="000000"/>
        </w:rPr>
      </w:pPr>
      <w:r w:rsidRPr="004F6F91">
        <w:rPr>
          <w:rFonts w:ascii="宋体" w:eastAsia="宋体" w:hAnsi="Times New Roman" w:hint="eastAsia"/>
          <w:color w:val="000000"/>
        </w:rPr>
        <w:t>代表鸥翎投资设立一支专注于投资旅游和休闲行业的私募股权基金</w:t>
      </w:r>
    </w:p>
    <w:p w14:paraId="5C8E435E" w14:textId="77777777" w:rsidR="004F6F91" w:rsidRDefault="004F6F91" w:rsidP="004F6F91">
      <w:pPr>
        <w:pStyle w:val="af5"/>
        <w:numPr>
          <w:ilvl w:val="0"/>
          <w:numId w:val="9"/>
        </w:numPr>
        <w:spacing w:before="120"/>
        <w:ind w:left="690" w:hanging="240"/>
        <w:rPr>
          <w:rFonts w:ascii="宋体" w:eastAsia="宋体" w:hAnsi="Times New Roman"/>
          <w:color w:val="000000"/>
        </w:rPr>
      </w:pPr>
      <w:r w:rsidRPr="004F6F91">
        <w:rPr>
          <w:rFonts w:ascii="宋体" w:eastAsia="宋体" w:hAnsi="Times New Roman" w:hint="eastAsia"/>
          <w:color w:val="000000"/>
        </w:rPr>
        <w:t>代表钟鼎资本设立一支专注于投资物流、供应链和相关行业的私募股权基金</w:t>
      </w:r>
    </w:p>
    <w:p w14:paraId="73EC1E41" w14:textId="77777777" w:rsidR="004F6F91" w:rsidRDefault="004F6F91" w:rsidP="004F6F91">
      <w:pPr>
        <w:pStyle w:val="af5"/>
        <w:numPr>
          <w:ilvl w:val="0"/>
          <w:numId w:val="10"/>
        </w:numPr>
        <w:spacing w:before="120"/>
        <w:ind w:left="690" w:hanging="240"/>
        <w:rPr>
          <w:rFonts w:ascii="宋体" w:eastAsia="宋体" w:hAnsi="Times New Roman"/>
          <w:color w:val="000000"/>
        </w:rPr>
      </w:pPr>
      <w:r w:rsidRPr="004F6F91">
        <w:rPr>
          <w:rFonts w:ascii="宋体" w:eastAsia="宋体" w:hAnsi="Times New Roman" w:hint="eastAsia"/>
          <w:color w:val="000000"/>
        </w:rPr>
        <w:t>代表时代资本设立一支专注于投资科技和科技推动的公司的私募股权基金</w:t>
      </w:r>
    </w:p>
    <w:p w14:paraId="12EF16DC" w14:textId="77777777" w:rsidR="004F6F91" w:rsidRDefault="004F6F91" w:rsidP="004F6F91">
      <w:pPr>
        <w:pStyle w:val="af5"/>
        <w:numPr>
          <w:ilvl w:val="0"/>
          <w:numId w:val="11"/>
        </w:numPr>
        <w:spacing w:before="120"/>
        <w:ind w:left="690" w:hanging="240"/>
        <w:rPr>
          <w:rFonts w:ascii="宋体" w:eastAsia="宋体" w:hAnsi="Times New Roman"/>
          <w:color w:val="000000"/>
        </w:rPr>
      </w:pPr>
      <w:r w:rsidRPr="004F6F91">
        <w:rPr>
          <w:rFonts w:ascii="宋体" w:eastAsia="宋体" w:hAnsi="Times New Roman" w:hint="eastAsia"/>
          <w:color w:val="000000"/>
        </w:rPr>
        <w:t>代表元生创投设立一支专注于投资早期和成长期生命科学和健康行业的私募股权基金</w:t>
      </w:r>
    </w:p>
    <w:p w14:paraId="5DA239DC" w14:textId="77777777" w:rsidR="004F6F91" w:rsidRDefault="004F6F91" w:rsidP="004F6F91">
      <w:pPr>
        <w:pStyle w:val="af5"/>
        <w:numPr>
          <w:ilvl w:val="0"/>
          <w:numId w:val="12"/>
        </w:numPr>
        <w:spacing w:before="120"/>
        <w:ind w:left="690" w:hanging="240"/>
        <w:rPr>
          <w:rFonts w:ascii="宋体" w:eastAsia="宋体" w:hAnsi="Times New Roman"/>
          <w:color w:val="000000"/>
        </w:rPr>
      </w:pPr>
      <w:r w:rsidRPr="004F6F91">
        <w:rPr>
          <w:rFonts w:ascii="宋体" w:eastAsia="宋体" w:hAnsi="Times New Roman" w:hint="eastAsia"/>
          <w:color w:val="000000"/>
        </w:rPr>
        <w:t>代表和玉资本设立一支专注于投资</w:t>
      </w:r>
      <w:r w:rsidRPr="004F6F91">
        <w:rPr>
          <w:rFonts w:ascii="宋体" w:eastAsia="宋体" w:hAnsi="Times New Roman"/>
          <w:color w:val="000000"/>
        </w:rPr>
        <w:t>TMT，人工智能，科技和健康领域的私募股权基金</w:t>
      </w:r>
    </w:p>
    <w:p w14:paraId="55DD44B8" w14:textId="77777777" w:rsidR="004F6F91" w:rsidRDefault="004F6F91" w:rsidP="004F6F91">
      <w:pPr>
        <w:pStyle w:val="af5"/>
        <w:numPr>
          <w:ilvl w:val="0"/>
          <w:numId w:val="13"/>
        </w:numPr>
        <w:spacing w:before="120"/>
        <w:ind w:left="690" w:hanging="240"/>
        <w:rPr>
          <w:rFonts w:ascii="宋体" w:eastAsia="宋体" w:hAnsi="Times New Roman"/>
          <w:color w:val="000000"/>
        </w:rPr>
      </w:pPr>
      <w:r w:rsidRPr="004F6F91">
        <w:rPr>
          <w:rFonts w:ascii="宋体" w:eastAsia="宋体" w:hAnsi="Times New Roman" w:hint="eastAsia"/>
          <w:color w:val="000000"/>
        </w:rPr>
        <w:t>代表黑石设立作为其特殊机会投资平台一部份的一系列独立管理账户及私募股权基金，其累计认缴出资额超过</w:t>
      </w:r>
      <w:r w:rsidRPr="004F6F91">
        <w:rPr>
          <w:rFonts w:ascii="宋体" w:eastAsia="宋体" w:hAnsi="Times New Roman"/>
          <w:color w:val="000000"/>
        </w:rPr>
        <w:t>150亿美元</w:t>
      </w:r>
    </w:p>
    <w:p w14:paraId="62795575" w14:textId="77777777" w:rsidR="004F6F91" w:rsidRDefault="004F6F91" w:rsidP="004F6F91">
      <w:pPr>
        <w:pStyle w:val="af5"/>
        <w:numPr>
          <w:ilvl w:val="0"/>
          <w:numId w:val="14"/>
        </w:numPr>
        <w:spacing w:before="120"/>
        <w:ind w:left="690" w:hanging="240"/>
        <w:rPr>
          <w:rFonts w:ascii="宋体" w:eastAsia="宋体" w:hAnsi="Times New Roman"/>
          <w:color w:val="000000"/>
        </w:rPr>
      </w:pPr>
      <w:r w:rsidRPr="004F6F91">
        <w:rPr>
          <w:rFonts w:ascii="宋体" w:eastAsia="宋体" w:hAnsi="Times New Roman" w:hint="eastAsia"/>
          <w:color w:val="000000"/>
        </w:rPr>
        <w:t>代表</w:t>
      </w:r>
      <w:r w:rsidRPr="004F6F91">
        <w:rPr>
          <w:rFonts w:ascii="宋体" w:eastAsia="宋体" w:hAnsi="Times New Roman"/>
          <w:color w:val="000000"/>
        </w:rPr>
        <w:t>First Reserve设立一支全球能源及基础设施基金，其规模为25亿美元</w:t>
      </w:r>
    </w:p>
    <w:p w14:paraId="7D608616" w14:textId="77777777" w:rsidR="004F6F91" w:rsidRDefault="004F6F91" w:rsidP="004F6F91">
      <w:pPr>
        <w:pStyle w:val="af5"/>
        <w:numPr>
          <w:ilvl w:val="0"/>
          <w:numId w:val="15"/>
        </w:numPr>
        <w:spacing w:before="120"/>
        <w:ind w:left="690" w:hanging="240"/>
        <w:rPr>
          <w:rFonts w:ascii="宋体" w:eastAsia="宋体" w:hAnsi="Times New Roman"/>
          <w:color w:val="000000"/>
        </w:rPr>
      </w:pPr>
      <w:r w:rsidRPr="004F6F91">
        <w:rPr>
          <w:rFonts w:ascii="宋体" w:eastAsia="宋体" w:hAnsi="Times New Roman" w:hint="eastAsia"/>
          <w:color w:val="000000"/>
        </w:rPr>
        <w:t>代表</w:t>
      </w:r>
      <w:r w:rsidRPr="004F6F91">
        <w:rPr>
          <w:rFonts w:ascii="宋体" w:eastAsia="宋体" w:hAnsi="Times New Roman"/>
          <w:color w:val="000000"/>
        </w:rPr>
        <w:t>A&amp;M Capital（为全球专业服务公司安迈企业咨询公司（Alvarez &amp; Marsal）的关联方）设立其首两支并购基金，其首支并购基金的规模达6亿美元及专注于北美中型市场的并购投资，其第二支并购基金主力投资于成长型企业</w:t>
      </w:r>
    </w:p>
    <w:p w14:paraId="3F0ED8BA" w14:textId="77777777" w:rsidR="004F6F91" w:rsidRDefault="004F6F91" w:rsidP="004F6F91">
      <w:pPr>
        <w:pStyle w:val="af5"/>
        <w:numPr>
          <w:ilvl w:val="0"/>
          <w:numId w:val="16"/>
        </w:numPr>
        <w:spacing w:before="120"/>
        <w:ind w:left="690" w:hanging="240"/>
        <w:rPr>
          <w:rFonts w:ascii="宋体" w:eastAsia="宋体" w:hAnsi="Times New Roman"/>
          <w:color w:val="000000"/>
        </w:rPr>
      </w:pPr>
      <w:r w:rsidRPr="004F6F91">
        <w:rPr>
          <w:rFonts w:ascii="宋体" w:eastAsia="宋体" w:hAnsi="Times New Roman" w:hint="eastAsia"/>
          <w:color w:val="000000"/>
        </w:rPr>
        <w:t>代表</w:t>
      </w:r>
      <w:r w:rsidRPr="004F6F91">
        <w:rPr>
          <w:rFonts w:ascii="宋体" w:eastAsia="宋体" w:hAnsi="Times New Roman"/>
          <w:color w:val="000000"/>
        </w:rPr>
        <w:t>New Mountain Capital设立其第四期私募股权基金，其认缴出资额为40亿美元</w:t>
      </w:r>
    </w:p>
    <w:p w14:paraId="0E11D6F1" w14:textId="77777777" w:rsidR="004F6F91" w:rsidRDefault="004F6F91" w:rsidP="004F6F91">
      <w:pPr>
        <w:pStyle w:val="af5"/>
        <w:numPr>
          <w:ilvl w:val="0"/>
          <w:numId w:val="17"/>
        </w:numPr>
        <w:spacing w:before="120"/>
        <w:ind w:left="690" w:hanging="240"/>
        <w:rPr>
          <w:rFonts w:ascii="宋体" w:eastAsia="宋体" w:hAnsi="Times New Roman"/>
          <w:color w:val="000000"/>
        </w:rPr>
      </w:pPr>
      <w:r w:rsidRPr="004F6F91">
        <w:rPr>
          <w:rFonts w:ascii="宋体" w:eastAsia="宋体" w:hAnsi="Times New Roman" w:hint="eastAsia"/>
          <w:color w:val="000000"/>
        </w:rPr>
        <w:t>代表</w:t>
      </w:r>
      <w:r w:rsidRPr="004F6F91">
        <w:rPr>
          <w:rFonts w:ascii="宋体" w:eastAsia="宋体" w:hAnsi="Times New Roman"/>
          <w:color w:val="000000"/>
        </w:rPr>
        <w:t>Corsair Capital设立其第四期专注于金融服务的基金，其认缴出资额超过7.75亿美元</w:t>
      </w:r>
    </w:p>
    <w:p w14:paraId="15171B0E" w14:textId="77777777" w:rsidR="004F6F91" w:rsidRDefault="004F6F91" w:rsidP="004F6F91">
      <w:pPr>
        <w:pStyle w:val="af5"/>
        <w:numPr>
          <w:ilvl w:val="0"/>
          <w:numId w:val="18"/>
        </w:numPr>
        <w:spacing w:before="120"/>
        <w:ind w:left="690" w:hanging="240"/>
        <w:rPr>
          <w:rFonts w:ascii="宋体" w:eastAsia="宋体" w:hAnsi="Times New Roman"/>
          <w:color w:val="000000"/>
        </w:rPr>
      </w:pPr>
      <w:r w:rsidRPr="004F6F91">
        <w:rPr>
          <w:rFonts w:ascii="宋体" w:eastAsia="宋体" w:hAnsi="Times New Roman" w:hint="eastAsia"/>
          <w:color w:val="000000"/>
        </w:rPr>
        <w:t>代表黑石设立多个管理账户及募集投资于商业抵押担保证券（</w:t>
      </w:r>
      <w:r w:rsidRPr="004F6F91">
        <w:rPr>
          <w:rFonts w:ascii="宋体" w:eastAsia="宋体" w:hAnsi="Times New Roman"/>
          <w:color w:val="000000"/>
        </w:rPr>
        <w:t>CMBS）的两支对冲基金</w:t>
      </w:r>
    </w:p>
    <w:p w14:paraId="78426EA8" w14:textId="77777777" w:rsidR="004F6F91" w:rsidRDefault="004F6F91" w:rsidP="004F6F91">
      <w:pPr>
        <w:pStyle w:val="af5"/>
        <w:numPr>
          <w:ilvl w:val="0"/>
          <w:numId w:val="19"/>
        </w:numPr>
        <w:spacing w:before="120"/>
        <w:ind w:left="690" w:hanging="240"/>
        <w:rPr>
          <w:rFonts w:ascii="宋体" w:eastAsia="宋体" w:hAnsi="Times New Roman"/>
          <w:color w:val="000000"/>
        </w:rPr>
      </w:pPr>
      <w:r w:rsidRPr="004F6F91">
        <w:rPr>
          <w:rFonts w:ascii="宋体" w:eastAsia="宋体" w:hAnsi="Times New Roman" w:hint="eastAsia"/>
          <w:color w:val="000000"/>
        </w:rPr>
        <w:t>代表</w:t>
      </w:r>
      <w:r w:rsidRPr="004F6F91">
        <w:rPr>
          <w:rFonts w:ascii="宋体" w:eastAsia="宋体" w:hAnsi="Times New Roman"/>
          <w:color w:val="000000"/>
        </w:rPr>
        <w:t>Aquiline Capital设立其第二期专注于金融服务的基金，其认缴出资额超过7.4亿美元</w:t>
      </w:r>
    </w:p>
    <w:p w14:paraId="7120C43F" w14:textId="77777777" w:rsidR="004F6F91" w:rsidRDefault="004F6F91" w:rsidP="004F6F91">
      <w:pPr>
        <w:pStyle w:val="af5"/>
        <w:numPr>
          <w:ilvl w:val="0"/>
          <w:numId w:val="20"/>
        </w:numPr>
        <w:spacing w:before="120"/>
        <w:ind w:left="690" w:hanging="240"/>
        <w:rPr>
          <w:rFonts w:ascii="宋体" w:eastAsia="宋体" w:hAnsi="Times New Roman"/>
          <w:color w:val="000000"/>
        </w:rPr>
      </w:pPr>
      <w:r w:rsidRPr="004F6F91">
        <w:rPr>
          <w:rFonts w:ascii="宋体" w:eastAsia="宋体" w:hAnsi="Times New Roman" w:hint="eastAsia"/>
          <w:color w:val="000000"/>
        </w:rPr>
        <w:t>代表黑石物业（</w:t>
      </w:r>
      <w:r w:rsidRPr="004F6F91">
        <w:rPr>
          <w:rFonts w:ascii="宋体" w:eastAsia="宋体" w:hAnsi="Times New Roman"/>
          <w:color w:val="000000"/>
        </w:rPr>
        <w:t>Blackstone Property Partners）就其投资于核心增益型房地产资产设立多个共同投资载体及补充资本载体</w:t>
      </w:r>
    </w:p>
    <w:p w14:paraId="0C43C0EC" w14:textId="77777777" w:rsidR="004F6F91" w:rsidRDefault="004F6F91" w:rsidP="004F6F91">
      <w:pPr>
        <w:pStyle w:val="af5"/>
        <w:numPr>
          <w:ilvl w:val="0"/>
          <w:numId w:val="21"/>
        </w:numPr>
        <w:spacing w:before="120"/>
        <w:ind w:left="690" w:hanging="240"/>
        <w:rPr>
          <w:rFonts w:ascii="宋体" w:eastAsia="宋体" w:hAnsi="Times New Roman"/>
          <w:color w:val="000000"/>
        </w:rPr>
      </w:pPr>
      <w:r w:rsidRPr="004F6F91">
        <w:rPr>
          <w:rFonts w:ascii="宋体" w:eastAsia="宋体" w:hAnsi="Times New Roman" w:hint="eastAsia"/>
          <w:color w:val="000000"/>
        </w:rPr>
        <w:t>其它基金发起人客户包括厚朴投资、</w:t>
      </w:r>
      <w:r w:rsidRPr="004F6F91">
        <w:rPr>
          <w:rFonts w:ascii="宋体" w:eastAsia="宋体" w:hAnsi="Times New Roman"/>
          <w:color w:val="000000"/>
        </w:rPr>
        <w:t>IDG资本、Macquarie、摩根斯坦利（Morgan Stanley）等</w:t>
      </w:r>
    </w:p>
    <w:p w14:paraId="600C124F" w14:textId="77777777" w:rsidR="004F6F91" w:rsidRDefault="004F6F91" w:rsidP="004F6F91">
      <w:pPr>
        <w:pStyle w:val="af5"/>
        <w:spacing w:before="120"/>
        <w:rPr>
          <w:rFonts w:ascii="宋体" w:eastAsia="宋体" w:hAnsi="Times New Roman"/>
          <w:color w:val="000000"/>
        </w:rPr>
      </w:pPr>
      <w:r w:rsidRPr="004F6F91">
        <w:rPr>
          <w:rFonts w:ascii="宋体" w:eastAsia="宋体" w:hAnsi="Times New Roman" w:hint="eastAsia"/>
          <w:color w:val="000000"/>
        </w:rPr>
        <w:t>代表基金投资人</w:t>
      </w:r>
    </w:p>
    <w:p w14:paraId="3EA0F2D0" w14:textId="77777777" w:rsidR="004F6F91" w:rsidRDefault="004F6F91" w:rsidP="004F6F91">
      <w:pPr>
        <w:pStyle w:val="af5"/>
        <w:numPr>
          <w:ilvl w:val="0"/>
          <w:numId w:val="22"/>
        </w:numPr>
        <w:spacing w:before="120"/>
        <w:ind w:left="690" w:hanging="240"/>
        <w:rPr>
          <w:rFonts w:ascii="宋体" w:eastAsia="宋体" w:hAnsi="Times New Roman"/>
          <w:color w:val="000000"/>
        </w:rPr>
      </w:pPr>
      <w:r w:rsidRPr="004F6F91">
        <w:rPr>
          <w:rFonts w:ascii="宋体" w:eastAsia="宋体" w:hAnsi="Times New Roman" w:hint="eastAsia"/>
          <w:color w:val="000000"/>
        </w:rPr>
        <w:t>代表加拿大退休金计划投资局（</w:t>
      </w:r>
      <w:r w:rsidRPr="004F6F91">
        <w:rPr>
          <w:rFonts w:ascii="宋体" w:eastAsia="宋体" w:hAnsi="Times New Roman"/>
          <w:color w:val="000000"/>
        </w:rPr>
        <w:t>CPPIB）投资于多支私募股权基金及创业投资基金</w:t>
      </w:r>
    </w:p>
    <w:p w14:paraId="6F792019" w14:textId="77777777" w:rsidR="004F6F91" w:rsidRDefault="004F6F91" w:rsidP="004F6F91">
      <w:pPr>
        <w:pStyle w:val="af5"/>
        <w:numPr>
          <w:ilvl w:val="0"/>
          <w:numId w:val="23"/>
        </w:numPr>
        <w:spacing w:before="120"/>
        <w:ind w:left="690" w:hanging="240"/>
        <w:rPr>
          <w:rFonts w:ascii="宋体" w:eastAsia="宋体" w:hAnsi="Times New Roman"/>
          <w:color w:val="000000"/>
        </w:rPr>
      </w:pPr>
      <w:r w:rsidRPr="004F6F91">
        <w:rPr>
          <w:rFonts w:ascii="宋体" w:eastAsia="宋体" w:hAnsi="Times New Roman" w:hint="eastAsia"/>
          <w:color w:val="000000"/>
        </w:rPr>
        <w:t>为中国太平就其拟投资于一支私募股权基金提供法律服务</w:t>
      </w:r>
    </w:p>
    <w:p w14:paraId="47C14BF6" w14:textId="77777777" w:rsidR="004F6F91" w:rsidRDefault="004F6F91" w:rsidP="004F6F91">
      <w:pPr>
        <w:pStyle w:val="af5"/>
        <w:numPr>
          <w:ilvl w:val="0"/>
          <w:numId w:val="24"/>
        </w:numPr>
        <w:spacing w:before="120"/>
        <w:ind w:left="690" w:hanging="240"/>
        <w:rPr>
          <w:rFonts w:ascii="宋体" w:eastAsia="宋体" w:hAnsi="Times New Roman"/>
          <w:color w:val="000000"/>
        </w:rPr>
      </w:pPr>
      <w:r w:rsidRPr="004F6F91">
        <w:rPr>
          <w:rFonts w:ascii="宋体" w:eastAsia="宋体" w:hAnsi="Times New Roman" w:hint="eastAsia"/>
          <w:color w:val="000000"/>
        </w:rPr>
        <w:t>代表香港金融管理局投资于多支私募股权基金及房地产基金</w:t>
      </w:r>
    </w:p>
    <w:p w14:paraId="407FBEEA" w14:textId="77777777" w:rsidR="004F6F91" w:rsidRDefault="004F6F91" w:rsidP="004F6F91">
      <w:pPr>
        <w:pStyle w:val="af5"/>
        <w:numPr>
          <w:ilvl w:val="0"/>
          <w:numId w:val="25"/>
        </w:numPr>
        <w:spacing w:before="120"/>
        <w:ind w:left="690" w:hanging="240"/>
        <w:rPr>
          <w:rFonts w:ascii="宋体" w:eastAsia="宋体" w:hAnsi="Times New Roman"/>
          <w:color w:val="000000"/>
        </w:rPr>
      </w:pPr>
      <w:r w:rsidRPr="004F6F91">
        <w:rPr>
          <w:rFonts w:ascii="宋体" w:eastAsia="宋体" w:hAnsi="Times New Roman" w:hint="eastAsia"/>
          <w:color w:val="000000"/>
        </w:rPr>
        <w:t>并购及其它交易</w:t>
      </w:r>
    </w:p>
    <w:p w14:paraId="10FEF97A" w14:textId="77777777" w:rsidR="004F6F91" w:rsidRDefault="004F6F91" w:rsidP="004F6F91">
      <w:pPr>
        <w:pStyle w:val="af5"/>
        <w:numPr>
          <w:ilvl w:val="0"/>
          <w:numId w:val="26"/>
        </w:numPr>
        <w:spacing w:before="120"/>
        <w:ind w:left="690" w:hanging="240"/>
        <w:rPr>
          <w:rFonts w:ascii="宋体" w:eastAsia="宋体" w:hAnsi="Times New Roman"/>
          <w:color w:val="000000"/>
        </w:rPr>
      </w:pPr>
      <w:r w:rsidRPr="004F6F91">
        <w:rPr>
          <w:rFonts w:ascii="宋体" w:eastAsia="宋体" w:hAnsi="Times New Roman" w:hint="eastAsia"/>
          <w:color w:val="000000"/>
        </w:rPr>
        <w:t>代表爱康集团（</w:t>
      </w:r>
      <w:r w:rsidRPr="004F6F91">
        <w:rPr>
          <w:rFonts w:ascii="宋体" w:eastAsia="宋体" w:hAnsi="Times New Roman"/>
          <w:color w:val="000000"/>
        </w:rPr>
        <w:t>Nasdaq：KANG）（</w:t>
      </w:r>
      <w:r w:rsidRPr="004F6F91">
        <w:rPr>
          <w:rFonts w:ascii="宋体" w:eastAsia="宋体" w:hAnsi="Times New Roman"/>
          <w:color w:val="000000"/>
        </w:rPr>
        <w:t>“</w:t>
      </w:r>
      <w:r w:rsidRPr="004F6F91">
        <w:rPr>
          <w:rFonts w:ascii="宋体" w:eastAsia="宋体" w:hAnsi="Times New Roman"/>
          <w:color w:val="000000"/>
        </w:rPr>
        <w:t>爱康</w:t>
      </w:r>
      <w:r w:rsidRPr="004F6F91">
        <w:rPr>
          <w:rFonts w:ascii="宋体" w:eastAsia="宋体" w:hAnsi="Times New Roman"/>
          <w:color w:val="000000"/>
        </w:rPr>
        <w:t>”</w:t>
      </w:r>
      <w:r w:rsidRPr="004F6F91">
        <w:rPr>
          <w:rFonts w:ascii="宋体" w:eastAsia="宋体" w:hAnsi="Times New Roman"/>
          <w:color w:val="000000"/>
        </w:rPr>
        <w:t>）的创办人、主席及总裁张黎刚作为买方财团成员完成规模为15亿美元的爱康私有化交易。买方财团的其它成员包括云锋基金、阿里巴巴集团及博裕资本的关联方</w:t>
      </w:r>
    </w:p>
    <w:p w14:paraId="351E9710" w14:textId="77777777" w:rsidR="004F6F91" w:rsidRDefault="004F6F91" w:rsidP="004F6F91">
      <w:pPr>
        <w:pStyle w:val="af5"/>
        <w:numPr>
          <w:ilvl w:val="0"/>
          <w:numId w:val="27"/>
        </w:numPr>
        <w:spacing w:before="120"/>
        <w:ind w:left="690" w:hanging="240"/>
        <w:rPr>
          <w:rFonts w:ascii="宋体" w:eastAsia="宋体" w:hAnsi="Times New Roman"/>
          <w:color w:val="000000"/>
        </w:rPr>
      </w:pPr>
      <w:r w:rsidRPr="004F6F91">
        <w:rPr>
          <w:rFonts w:ascii="宋体" w:eastAsia="宋体" w:hAnsi="Times New Roman" w:hint="eastAsia"/>
          <w:color w:val="000000"/>
        </w:rPr>
        <w:t>代表世邦魏理仕（</w:t>
      </w:r>
      <w:r w:rsidRPr="004F6F91">
        <w:rPr>
          <w:rFonts w:ascii="宋体" w:eastAsia="宋体" w:hAnsi="Times New Roman"/>
          <w:color w:val="000000"/>
        </w:rPr>
        <w:t>CBRE）向ING收购位于欧洲及亚洲的房地产投资管理业务</w:t>
      </w:r>
    </w:p>
    <w:p w14:paraId="7D1E0C40" w14:textId="77777777" w:rsidR="004F6F91" w:rsidRDefault="004F6F91" w:rsidP="004F6F91">
      <w:pPr>
        <w:pStyle w:val="af5"/>
        <w:numPr>
          <w:ilvl w:val="0"/>
          <w:numId w:val="28"/>
        </w:numPr>
        <w:spacing w:before="120"/>
        <w:ind w:left="690" w:hanging="240"/>
        <w:rPr>
          <w:rFonts w:ascii="宋体" w:eastAsia="宋体" w:hAnsi="Times New Roman"/>
          <w:color w:val="000000"/>
        </w:rPr>
      </w:pPr>
      <w:r w:rsidRPr="004F6F91">
        <w:rPr>
          <w:rFonts w:ascii="宋体" w:eastAsia="宋体" w:hAnsi="Times New Roman" w:hint="eastAsia"/>
          <w:color w:val="000000"/>
        </w:rPr>
        <w:t>代表黑石于一项估值约为</w:t>
      </w:r>
      <w:r w:rsidRPr="004F6F91">
        <w:rPr>
          <w:rFonts w:ascii="宋体" w:eastAsia="宋体" w:hAnsi="Times New Roman"/>
          <w:color w:val="000000"/>
        </w:rPr>
        <w:t>230亿美元的交易中收购GECapitalRealEstate的资产</w:t>
      </w:r>
    </w:p>
    <w:p w14:paraId="49AC6FDC" w14:textId="77777777" w:rsidR="004F6F91" w:rsidRDefault="004F6F91" w:rsidP="004F6F91">
      <w:pPr>
        <w:pStyle w:val="af5"/>
        <w:numPr>
          <w:ilvl w:val="0"/>
          <w:numId w:val="29"/>
        </w:numPr>
        <w:spacing w:before="120"/>
        <w:ind w:left="690" w:hanging="240"/>
        <w:rPr>
          <w:rFonts w:ascii="宋体" w:eastAsia="宋体" w:hAnsi="Times New Roman"/>
          <w:color w:val="000000"/>
        </w:rPr>
      </w:pPr>
      <w:r w:rsidRPr="004F6F91">
        <w:rPr>
          <w:rFonts w:ascii="宋体" w:eastAsia="宋体" w:hAnsi="Times New Roman" w:hint="eastAsia"/>
          <w:color w:val="000000"/>
        </w:rPr>
        <w:t>代表</w:t>
      </w:r>
      <w:r w:rsidRPr="004F6F91">
        <w:rPr>
          <w:rFonts w:ascii="宋体" w:eastAsia="宋体" w:hAnsi="Times New Roman"/>
          <w:color w:val="000000"/>
        </w:rPr>
        <w:t>New Mountain Capital完成对AmWINS的13亿美元资本结构调整</w:t>
      </w:r>
    </w:p>
    <w:p w14:paraId="0F99C8AD" w14:textId="77777777" w:rsidR="004F6F91" w:rsidRDefault="004F6F91" w:rsidP="004F6F91">
      <w:pPr>
        <w:pStyle w:val="af5"/>
        <w:numPr>
          <w:ilvl w:val="0"/>
          <w:numId w:val="30"/>
        </w:numPr>
        <w:spacing w:before="120"/>
        <w:ind w:left="690" w:hanging="240"/>
        <w:rPr>
          <w:rFonts w:ascii="宋体" w:eastAsia="宋体" w:hAnsi="Times New Roman"/>
          <w:color w:val="000000"/>
        </w:rPr>
      </w:pPr>
      <w:r w:rsidRPr="004F6F91">
        <w:rPr>
          <w:rFonts w:ascii="宋体" w:eastAsia="宋体" w:hAnsi="Times New Roman" w:hint="eastAsia"/>
          <w:color w:val="000000"/>
        </w:rPr>
        <w:t>代表</w:t>
      </w:r>
      <w:r w:rsidRPr="004F6F91">
        <w:rPr>
          <w:rFonts w:ascii="宋体" w:eastAsia="宋体" w:hAnsi="Times New Roman"/>
          <w:color w:val="000000"/>
        </w:rPr>
        <w:t>CorsairCapital作为买方财团成员收购FirstEagleInvestmentManagement的大多数股权，其企业总值约为40亿美元。买方财团的其它成员包括由黑石发起设立的基金</w:t>
      </w:r>
    </w:p>
    <w:p w14:paraId="628F173E" w14:textId="77777777" w:rsidR="004F6F91" w:rsidRDefault="004F6F91" w:rsidP="004F6F91">
      <w:pPr>
        <w:pStyle w:val="af5"/>
        <w:numPr>
          <w:ilvl w:val="0"/>
          <w:numId w:val="31"/>
        </w:numPr>
        <w:spacing w:before="120"/>
        <w:ind w:left="690" w:hanging="240"/>
        <w:rPr>
          <w:rFonts w:ascii="宋体" w:eastAsia="宋体" w:hAnsi="Times New Roman"/>
          <w:color w:val="000000"/>
        </w:rPr>
      </w:pPr>
      <w:r w:rsidRPr="004F6F91">
        <w:rPr>
          <w:rFonts w:ascii="宋体" w:eastAsia="宋体" w:hAnsi="Times New Roman" w:hint="eastAsia"/>
          <w:color w:val="000000"/>
        </w:rPr>
        <w:t>代表</w:t>
      </w:r>
      <w:r w:rsidRPr="004F6F91">
        <w:rPr>
          <w:rFonts w:ascii="宋体" w:eastAsia="宋体" w:hAnsi="Times New Roman"/>
          <w:color w:val="000000"/>
        </w:rPr>
        <w:t>New Mountain Capital与买方团共同投资于JDA Software</w:t>
      </w:r>
    </w:p>
    <w:p w14:paraId="745A17D2" w14:textId="77777777" w:rsidR="004F6F91" w:rsidRDefault="004F6F91" w:rsidP="004F6F91">
      <w:pPr>
        <w:pStyle w:val="af5"/>
        <w:numPr>
          <w:ilvl w:val="0"/>
          <w:numId w:val="32"/>
        </w:numPr>
        <w:spacing w:before="120"/>
        <w:ind w:left="690" w:hanging="240"/>
        <w:rPr>
          <w:rFonts w:ascii="宋体" w:eastAsia="宋体" w:hAnsi="Times New Roman"/>
          <w:color w:val="000000"/>
        </w:rPr>
      </w:pPr>
      <w:r w:rsidRPr="004F6F91">
        <w:rPr>
          <w:rFonts w:ascii="宋体" w:eastAsia="宋体" w:hAnsi="Times New Roman" w:hint="eastAsia"/>
          <w:color w:val="000000"/>
        </w:rPr>
        <w:t>代表</w:t>
      </w:r>
      <w:r w:rsidRPr="004F6F91">
        <w:rPr>
          <w:rFonts w:ascii="宋体" w:eastAsia="宋体" w:hAnsi="Times New Roman"/>
          <w:color w:val="000000"/>
        </w:rPr>
        <w:t>Corsair Capital向花旗集团（Citi group）收购其全球基础设施投资基金的管理权</w:t>
      </w:r>
    </w:p>
    <w:p w14:paraId="32A5B759" w14:textId="77777777" w:rsidR="004F6F91" w:rsidRDefault="004F6F91" w:rsidP="004F6F91">
      <w:pPr>
        <w:pStyle w:val="af5"/>
        <w:numPr>
          <w:ilvl w:val="0"/>
          <w:numId w:val="33"/>
        </w:numPr>
        <w:spacing w:before="120"/>
        <w:ind w:left="690" w:hanging="240"/>
        <w:rPr>
          <w:rFonts w:ascii="宋体" w:eastAsia="宋体" w:hAnsi="Times New Roman"/>
          <w:color w:val="000000"/>
        </w:rPr>
      </w:pPr>
      <w:r w:rsidRPr="004F6F91">
        <w:rPr>
          <w:rFonts w:ascii="宋体" w:eastAsia="宋体" w:hAnsi="Times New Roman" w:hint="eastAsia"/>
          <w:color w:val="000000"/>
        </w:rPr>
        <w:t>代表黑石抵押信托公司（</w:t>
      </w:r>
      <w:r w:rsidRPr="004F6F91">
        <w:rPr>
          <w:rFonts w:ascii="宋体" w:eastAsia="宋体" w:hAnsi="Times New Roman"/>
          <w:color w:val="000000"/>
        </w:rPr>
        <w:t>NYSE: BXMT）公开发行其1150万股A股普通股</w:t>
      </w:r>
    </w:p>
    <w:p w14:paraId="587B5D6D" w14:textId="77777777" w:rsidR="004F6F91" w:rsidRDefault="004F6F91" w:rsidP="004F6F91">
      <w:pPr>
        <w:pStyle w:val="af5"/>
        <w:numPr>
          <w:ilvl w:val="0"/>
          <w:numId w:val="34"/>
        </w:numPr>
        <w:spacing w:before="120"/>
        <w:ind w:left="690" w:hanging="240"/>
        <w:rPr>
          <w:rFonts w:ascii="宋体" w:eastAsia="宋体" w:hAnsi="Times New Roman"/>
          <w:color w:val="000000"/>
        </w:rPr>
      </w:pPr>
      <w:r w:rsidRPr="004F6F91">
        <w:rPr>
          <w:rFonts w:ascii="宋体" w:eastAsia="宋体" w:hAnsi="Times New Roman" w:hint="eastAsia"/>
          <w:color w:val="000000"/>
        </w:rPr>
        <w:t>为</w:t>
      </w:r>
      <w:r w:rsidRPr="004F6F91">
        <w:rPr>
          <w:rFonts w:ascii="宋体" w:eastAsia="宋体" w:hAnsi="Times New Roman"/>
          <w:color w:val="000000"/>
        </w:rPr>
        <w:t>Lightyear Capital的日常基金运营及投资活动提供法律服务</w:t>
      </w:r>
      <w:r w:rsidRPr="004F6F91">
        <w:rPr>
          <w:rFonts w:ascii="宋体" w:eastAsia="宋体" w:hAnsi="Times New Roman"/>
          <w:color w:val="000000"/>
        </w:rPr>
        <w:t> </w:t>
      </w:r>
      <w:r w:rsidRPr="004F6F91">
        <w:rPr>
          <w:rFonts w:ascii="宋体" w:eastAsia="宋体" w:hAnsi="Times New Roman"/>
          <w:color w:val="000000"/>
        </w:rPr>
        <w:t xml:space="preserve"> </w:t>
      </w:r>
      <w:r w:rsidRPr="004F6F91">
        <w:rPr>
          <w:rFonts w:ascii="宋体" w:eastAsia="宋体" w:hAnsi="Times New Roman"/>
          <w:color w:val="000000"/>
        </w:rPr>
        <w:t> </w:t>
      </w:r>
      <w:r w:rsidRPr="004F6F91">
        <w:rPr>
          <w:rFonts w:ascii="宋体" w:eastAsia="宋体" w:hAnsi="Times New Roman"/>
          <w:color w:val="000000"/>
        </w:rPr>
        <w:t>*包括加入方达前完成的交易</w:t>
      </w:r>
    </w:p>
    <w:p w14:paraId="1B5D1BDC" w14:textId="77777777" w:rsidR="004F6F91" w:rsidRDefault="004F6F91" w:rsidP="004F6F91">
      <w:pPr>
        <w:pStyle w:val="af5"/>
        <w:spacing w:after="0" w:line="480" w:lineRule="auto"/>
        <w:rPr>
          <w:rFonts w:ascii="宋体" w:eastAsia="宋体" w:hAnsi="宋体"/>
          <w:b/>
          <w:sz w:val="24"/>
        </w:rPr>
      </w:pPr>
      <w:r w:rsidRPr="004F6F91">
        <w:rPr>
          <w:rFonts w:ascii="宋体" w:eastAsia="宋体" w:hAnsi="宋体" w:hint="eastAsia"/>
          <w:b/>
          <w:sz w:val="24"/>
        </w:rPr>
        <w:t>教育背景</w:t>
      </w:r>
    </w:p>
    <w:p w14:paraId="416D1C0D" w14:textId="77777777" w:rsidR="004F6F91" w:rsidRDefault="004F6F91" w:rsidP="004F6F91">
      <w:pPr>
        <w:pStyle w:val="af5"/>
        <w:numPr>
          <w:ilvl w:val="0"/>
          <w:numId w:val="35"/>
        </w:numPr>
        <w:spacing w:before="120"/>
        <w:ind w:left="690" w:hanging="240"/>
        <w:rPr>
          <w:rFonts w:ascii="宋体" w:eastAsia="宋体" w:hAnsi="Times New Roman"/>
          <w:color w:val="000000"/>
        </w:rPr>
      </w:pPr>
      <w:r w:rsidRPr="004F6F91">
        <w:rPr>
          <w:rFonts w:ascii="宋体" w:eastAsia="宋体" w:hAnsi="Times New Roman" w:hint="eastAsia"/>
          <w:color w:val="000000"/>
        </w:rPr>
        <w:t>北京大学经济学院，经济学学士</w:t>
      </w:r>
    </w:p>
    <w:p w14:paraId="4378B7EB" w14:textId="77777777" w:rsidR="004F6F91" w:rsidRDefault="004F6F91" w:rsidP="004F6F91">
      <w:pPr>
        <w:pStyle w:val="af5"/>
        <w:numPr>
          <w:ilvl w:val="0"/>
          <w:numId w:val="36"/>
        </w:numPr>
        <w:spacing w:before="120"/>
        <w:ind w:left="690" w:hanging="240"/>
        <w:rPr>
          <w:rFonts w:ascii="宋体" w:eastAsia="宋体" w:hAnsi="Times New Roman"/>
          <w:color w:val="000000"/>
        </w:rPr>
      </w:pPr>
      <w:r w:rsidRPr="004F6F91">
        <w:rPr>
          <w:rFonts w:ascii="宋体" w:eastAsia="宋体" w:hAnsi="Times New Roman" w:hint="eastAsia"/>
          <w:color w:val="000000"/>
        </w:rPr>
        <w:t>美国宾夕法尼亚大学，经济学硕士</w:t>
      </w:r>
    </w:p>
    <w:p w14:paraId="35B633BA" w14:textId="77777777" w:rsidR="004F6F91" w:rsidRDefault="004F6F91" w:rsidP="004F6F91">
      <w:pPr>
        <w:pStyle w:val="af5"/>
        <w:numPr>
          <w:ilvl w:val="0"/>
          <w:numId w:val="37"/>
        </w:numPr>
        <w:spacing w:before="120"/>
        <w:ind w:left="690" w:hanging="240"/>
        <w:rPr>
          <w:rFonts w:ascii="宋体" w:eastAsia="宋体" w:hAnsi="Times New Roman"/>
          <w:color w:val="000000"/>
        </w:rPr>
      </w:pPr>
      <w:r w:rsidRPr="004F6F91">
        <w:rPr>
          <w:rFonts w:ascii="宋体" w:eastAsia="宋体" w:hAnsi="Times New Roman" w:hint="eastAsia"/>
          <w:color w:val="000000"/>
        </w:rPr>
        <w:t>美国乔治城大学，法律博士（</w:t>
      </w:r>
      <w:r w:rsidRPr="004F6F91">
        <w:rPr>
          <w:rFonts w:ascii="宋体" w:eastAsia="宋体" w:hAnsi="Times New Roman"/>
          <w:color w:val="000000"/>
        </w:rPr>
        <w:t>Juris Doctor）</w:t>
      </w:r>
    </w:p>
    <w:p w14:paraId="15547121" w14:textId="77777777" w:rsidR="004F6F91" w:rsidRDefault="004F6F91" w:rsidP="004F6F91">
      <w:pPr>
        <w:pStyle w:val="af5"/>
        <w:spacing w:after="0" w:line="480" w:lineRule="auto"/>
        <w:rPr>
          <w:rFonts w:ascii="宋体" w:eastAsia="宋体" w:hAnsi="宋体"/>
          <w:b/>
          <w:sz w:val="24"/>
        </w:rPr>
      </w:pPr>
      <w:r w:rsidRPr="004F6F91">
        <w:rPr>
          <w:rFonts w:ascii="宋体" w:eastAsia="宋体" w:hAnsi="宋体" w:hint="eastAsia"/>
          <w:b/>
          <w:sz w:val="24"/>
        </w:rPr>
        <w:t>执业资格</w:t>
      </w:r>
    </w:p>
    <w:p w14:paraId="13960554" w14:textId="77777777" w:rsidR="004F6F91" w:rsidRDefault="004F6F91" w:rsidP="004F6F91">
      <w:pPr>
        <w:pStyle w:val="af5"/>
        <w:numPr>
          <w:ilvl w:val="0"/>
          <w:numId w:val="38"/>
        </w:numPr>
        <w:spacing w:before="120"/>
        <w:ind w:left="690" w:hanging="240"/>
        <w:rPr>
          <w:rFonts w:ascii="宋体" w:eastAsia="宋体" w:hAnsi="Times New Roman"/>
          <w:color w:val="000000"/>
        </w:rPr>
      </w:pPr>
      <w:r w:rsidRPr="004F6F91">
        <w:rPr>
          <w:rFonts w:ascii="宋体" w:eastAsia="宋体" w:hAnsi="Times New Roman" w:hint="eastAsia"/>
          <w:color w:val="000000"/>
        </w:rPr>
        <w:t>美国纽约州执业律师</w:t>
      </w:r>
    </w:p>
    <w:p w14:paraId="2B56D9EB" w14:textId="77777777" w:rsidR="004F6F91" w:rsidRDefault="004F6F91" w:rsidP="004F6F91">
      <w:pPr>
        <w:pStyle w:val="af5"/>
        <w:numPr>
          <w:ilvl w:val="0"/>
          <w:numId w:val="39"/>
        </w:numPr>
        <w:spacing w:before="120"/>
        <w:ind w:left="690" w:hanging="240"/>
        <w:rPr>
          <w:rFonts w:ascii="宋体" w:eastAsia="宋体" w:hAnsi="Times New Roman"/>
          <w:color w:val="000000"/>
        </w:rPr>
      </w:pPr>
      <w:r w:rsidRPr="004F6F91">
        <w:rPr>
          <w:rFonts w:ascii="宋体" w:eastAsia="宋体" w:hAnsi="Times New Roman" w:hint="eastAsia"/>
          <w:color w:val="000000"/>
        </w:rPr>
        <w:t>香港特别行政区注册外地律师</w:t>
      </w:r>
    </w:p>
    <w:p w14:paraId="47CCCF6E" w14:textId="77777777" w:rsidR="004F6F91" w:rsidRDefault="004F6F91" w:rsidP="004F6F91">
      <w:pPr>
        <w:pStyle w:val="af5"/>
        <w:spacing w:after="0" w:line="480" w:lineRule="auto"/>
        <w:rPr>
          <w:rFonts w:ascii="宋体" w:eastAsia="宋体" w:hAnsi="宋体"/>
          <w:b/>
          <w:sz w:val="24"/>
        </w:rPr>
      </w:pPr>
      <w:r w:rsidRPr="004F6F91">
        <w:rPr>
          <w:rFonts w:ascii="宋体" w:eastAsia="宋体" w:hAnsi="宋体" w:hint="eastAsia"/>
          <w:b/>
          <w:sz w:val="24"/>
        </w:rPr>
        <w:t>职业背景</w:t>
      </w:r>
    </w:p>
    <w:p w14:paraId="4F0A196B" w14:textId="56BC5F01" w:rsidR="00A46A04" w:rsidRPr="004F6F91" w:rsidRDefault="004F6F91" w:rsidP="004F6F91">
      <w:pPr>
        <w:pStyle w:val="af5"/>
        <w:numPr>
          <w:ilvl w:val="0"/>
          <w:numId w:val="40"/>
        </w:numPr>
        <w:spacing w:before="120"/>
        <w:ind w:left="690" w:hanging="240"/>
        <w:rPr>
          <w:rFonts w:ascii="宋体" w:eastAsia="宋体" w:hAnsi="Times New Roman"/>
          <w:color w:val="000000"/>
        </w:rPr>
      </w:pPr>
      <w:r w:rsidRPr="004F6F91">
        <w:rPr>
          <w:rFonts w:ascii="宋体" w:eastAsia="宋体" w:hAnsi="Times New Roman" w:hint="eastAsia"/>
          <w:color w:val="000000"/>
        </w:rPr>
        <w:t>在加入方达律师事务所前，张律师于凯易律师事务所（</w:t>
      </w:r>
      <w:r w:rsidRPr="004F6F91">
        <w:rPr>
          <w:rFonts w:ascii="宋体" w:eastAsia="宋体" w:hAnsi="Times New Roman"/>
          <w:color w:val="000000"/>
        </w:rPr>
        <w:t>Kirkland  Ellis）香港办公室担任合伙人。于重返亚洲工作前，张律师于盛信律师事务所（Simpson Thacher  Bartlett） 纽约办公室执业超过六年。</w:t>
      </w:r>
    </w:p>
    <w:sectPr w:rsidR="00A46A04" w:rsidRPr="004F6F91"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C1A29"/>
    <w:multiLevelType w:val="singleLevel"/>
    <w:tmpl w:val="782CAF4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A4641A"/>
    <w:multiLevelType w:val="singleLevel"/>
    <w:tmpl w:val="1796454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72F4324"/>
    <w:multiLevelType w:val="singleLevel"/>
    <w:tmpl w:val="E2963DB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83D317A"/>
    <w:multiLevelType w:val="singleLevel"/>
    <w:tmpl w:val="2892E7D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1E654C8"/>
    <w:multiLevelType w:val="singleLevel"/>
    <w:tmpl w:val="BEE009F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ABD77A0"/>
    <w:multiLevelType w:val="singleLevel"/>
    <w:tmpl w:val="20BC2D1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EDD2F95"/>
    <w:multiLevelType w:val="singleLevel"/>
    <w:tmpl w:val="FEF257B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FCB66DE"/>
    <w:multiLevelType w:val="singleLevel"/>
    <w:tmpl w:val="0C64D3F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1086183"/>
    <w:multiLevelType w:val="singleLevel"/>
    <w:tmpl w:val="F516FE3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43247ED"/>
    <w:multiLevelType w:val="singleLevel"/>
    <w:tmpl w:val="A446A04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9113116"/>
    <w:multiLevelType w:val="singleLevel"/>
    <w:tmpl w:val="FCE4557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B576E48"/>
    <w:multiLevelType w:val="singleLevel"/>
    <w:tmpl w:val="272AD4B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B9E1496"/>
    <w:multiLevelType w:val="singleLevel"/>
    <w:tmpl w:val="FE98D7C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308C1E06"/>
    <w:multiLevelType w:val="singleLevel"/>
    <w:tmpl w:val="4FD655A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4B952C6"/>
    <w:multiLevelType w:val="singleLevel"/>
    <w:tmpl w:val="EC90DC7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5327F56"/>
    <w:multiLevelType w:val="singleLevel"/>
    <w:tmpl w:val="E502142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700449C"/>
    <w:multiLevelType w:val="singleLevel"/>
    <w:tmpl w:val="DAFED3D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9" w15:restartNumberingAfterBreak="0">
    <w:nsid w:val="3E075A2D"/>
    <w:multiLevelType w:val="singleLevel"/>
    <w:tmpl w:val="7AAA39F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29E68B7"/>
    <w:multiLevelType w:val="singleLevel"/>
    <w:tmpl w:val="E7F05E0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C5E0488"/>
    <w:multiLevelType w:val="singleLevel"/>
    <w:tmpl w:val="3176F83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05A41B4"/>
    <w:multiLevelType w:val="singleLevel"/>
    <w:tmpl w:val="0E46EC6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088322B"/>
    <w:multiLevelType w:val="singleLevel"/>
    <w:tmpl w:val="272AD4B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1D05044"/>
    <w:multiLevelType w:val="singleLevel"/>
    <w:tmpl w:val="859E898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33F55E5"/>
    <w:multiLevelType w:val="singleLevel"/>
    <w:tmpl w:val="66A06F1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4504A23"/>
    <w:multiLevelType w:val="singleLevel"/>
    <w:tmpl w:val="4036B7EC"/>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5055AB3"/>
    <w:multiLevelType w:val="singleLevel"/>
    <w:tmpl w:val="AD681D74"/>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CA32135"/>
    <w:multiLevelType w:val="singleLevel"/>
    <w:tmpl w:val="1F78A09A"/>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31C01F0"/>
    <w:multiLevelType w:val="singleLevel"/>
    <w:tmpl w:val="281281BA"/>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4211EBC"/>
    <w:multiLevelType w:val="singleLevel"/>
    <w:tmpl w:val="5D760584"/>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7097E92"/>
    <w:multiLevelType w:val="singleLevel"/>
    <w:tmpl w:val="8BD8524C"/>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73471C5"/>
    <w:multiLevelType w:val="singleLevel"/>
    <w:tmpl w:val="B966257E"/>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B0906AF"/>
    <w:multiLevelType w:val="singleLevel"/>
    <w:tmpl w:val="89B44744"/>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D6E600E"/>
    <w:multiLevelType w:val="singleLevel"/>
    <w:tmpl w:val="15826E6C"/>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2767BBC"/>
    <w:multiLevelType w:val="singleLevel"/>
    <w:tmpl w:val="63726A5C"/>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3F13FE1"/>
    <w:multiLevelType w:val="singleLevel"/>
    <w:tmpl w:val="10A85938"/>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7C63AFA"/>
    <w:multiLevelType w:val="singleLevel"/>
    <w:tmpl w:val="B004324E"/>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96913A7"/>
    <w:multiLevelType w:val="singleLevel"/>
    <w:tmpl w:val="B290AF12"/>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AAA2447"/>
    <w:multiLevelType w:val="singleLevel"/>
    <w:tmpl w:val="D37E0586"/>
    <w:lvl w:ilvl="0">
      <w:start w:val="1"/>
      <w:numFmt w:val="bullet"/>
      <w:lvlText w:val=""/>
      <w:lvlJc w:val="left"/>
      <w:pPr>
        <w:tabs>
          <w:tab w:val="num" w:pos="200"/>
        </w:tabs>
        <w:ind w:left="200" w:hanging="200"/>
      </w:pPr>
      <w:rPr>
        <w:rFonts w:ascii="Wingdings" w:hAnsi="Wingdings" w:hint="default"/>
        <w:sz w:val="16"/>
      </w:rPr>
    </w:lvl>
  </w:abstractNum>
  <w:num w:numId="1">
    <w:abstractNumId w:val="13"/>
  </w:num>
  <w:num w:numId="2">
    <w:abstractNumId w:val="18"/>
  </w:num>
  <w:num w:numId="3">
    <w:abstractNumId w:val="2"/>
  </w:num>
  <w:num w:numId="4">
    <w:abstractNumId w:val="21"/>
  </w:num>
  <w:num w:numId="5">
    <w:abstractNumId w:val="35"/>
  </w:num>
  <w:num w:numId="6">
    <w:abstractNumId w:val="31"/>
  </w:num>
  <w:num w:numId="7">
    <w:abstractNumId w:val="28"/>
  </w:num>
  <w:num w:numId="8">
    <w:abstractNumId w:val="33"/>
  </w:num>
  <w:num w:numId="9">
    <w:abstractNumId w:val="14"/>
  </w:num>
  <w:num w:numId="10">
    <w:abstractNumId w:val="34"/>
  </w:num>
  <w:num w:numId="11">
    <w:abstractNumId w:val="30"/>
  </w:num>
  <w:num w:numId="12">
    <w:abstractNumId w:val="36"/>
  </w:num>
  <w:num w:numId="13">
    <w:abstractNumId w:val="3"/>
  </w:num>
  <w:num w:numId="14">
    <w:abstractNumId w:val="27"/>
  </w:num>
  <w:num w:numId="15">
    <w:abstractNumId w:val="9"/>
  </w:num>
  <w:num w:numId="16">
    <w:abstractNumId w:val="25"/>
  </w:num>
  <w:num w:numId="17">
    <w:abstractNumId w:val="12"/>
  </w:num>
  <w:num w:numId="18">
    <w:abstractNumId w:val="10"/>
  </w:num>
  <w:num w:numId="19">
    <w:abstractNumId w:val="32"/>
  </w:num>
  <w:num w:numId="20">
    <w:abstractNumId w:val="24"/>
  </w:num>
  <w:num w:numId="21">
    <w:abstractNumId w:val="22"/>
  </w:num>
  <w:num w:numId="22">
    <w:abstractNumId w:val="5"/>
  </w:num>
  <w:num w:numId="23">
    <w:abstractNumId w:val="19"/>
  </w:num>
  <w:num w:numId="24">
    <w:abstractNumId w:val="4"/>
  </w:num>
  <w:num w:numId="25">
    <w:abstractNumId w:val="17"/>
  </w:num>
  <w:num w:numId="26">
    <w:abstractNumId w:val="37"/>
  </w:num>
  <w:num w:numId="27">
    <w:abstractNumId w:val="7"/>
  </w:num>
  <w:num w:numId="28">
    <w:abstractNumId w:val="8"/>
  </w:num>
  <w:num w:numId="29">
    <w:abstractNumId w:val="1"/>
  </w:num>
  <w:num w:numId="30">
    <w:abstractNumId w:val="0"/>
  </w:num>
  <w:num w:numId="31">
    <w:abstractNumId w:val="38"/>
  </w:num>
  <w:num w:numId="32">
    <w:abstractNumId w:val="39"/>
  </w:num>
  <w:num w:numId="33">
    <w:abstractNumId w:val="6"/>
  </w:num>
  <w:num w:numId="34">
    <w:abstractNumId w:val="26"/>
  </w:num>
  <w:num w:numId="35">
    <w:abstractNumId w:val="20"/>
  </w:num>
  <w:num w:numId="36">
    <w:abstractNumId w:val="16"/>
  </w:num>
  <w:num w:numId="37">
    <w:abstractNumId w:val="15"/>
  </w:num>
  <w:num w:numId="38">
    <w:abstractNumId w:val="29"/>
  </w:num>
  <w:num w:numId="39">
    <w:abstractNumId w:val="11"/>
  </w:num>
  <w:num w:numId="4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4F6F91"/>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4F6F91"/>
    <w:pPr>
      <w:spacing w:after="120"/>
    </w:pPr>
  </w:style>
  <w:style w:type="character" w:customStyle="1" w:styleId="af6">
    <w:name w:val="正文文本 字符"/>
    <w:basedOn w:val="a0"/>
    <w:link w:val="af5"/>
    <w:uiPriority w:val="99"/>
    <w:rsid w:val="004F6F91"/>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246CB7-837F-4CC5-9F87-2B446FD570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276</Words>
  <Characters>1574</Characters>
  <Application>Microsoft Office Word</Application>
  <DocSecurity>0</DocSecurity>
  <Lines>13</Lines>
  <Paragraphs>3</Paragraphs>
  <ScaleCrop>false</ScaleCrop>
  <Company/>
  <LinksUpToDate>false</LinksUpToDate>
  <CharactersWithSpaces>1847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2026-07-06T22:38:00Z</dcterms:created>
  <dcterms:modified xsi:type="dcterms:W3CDTF">2026-07-06T22:38:00Z</dcterms:modified>
</cp:coreProperties>
</file>