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8A28BB" w:rsidR="0049405C" w:rsidRPr="00187BAA" w:rsidRDefault="002577FF" w:rsidP="002577FF">
            <w:pPr>
              <w:spacing w:line="720" w:lineRule="auto"/>
              <w:rPr>
                <w:rFonts w:ascii="宋体" w:eastAsia="宋体" w:hAnsi="宋体"/>
                <w:color w:val="545551"/>
              </w:rPr>
            </w:pPr>
            <w:bookmarkStart w:id="0" w:name="xingming"/>
            <w:bookmarkStart w:id="1" w:name="_GoBack"/>
            <w:bookmarkEnd w:id="1"/>
            <w:r w:rsidRPr="002577FF">
              <w:rPr>
                <w:rFonts w:ascii="宋体" w:eastAsia="宋体" w:hAnsi="Times New Roman" w:hint="eastAsia"/>
                <w:b/>
                <w:color w:val="000000"/>
                <w:sz w:val="48"/>
              </w:rPr>
              <w:t>马强</w:t>
            </w:r>
            <w:bookmarkEnd w:id="0"/>
          </w:p>
          <w:p w14:paraId="706EB16B" w14:textId="26497290" w:rsidR="0049405C" w:rsidRPr="00187BAA" w:rsidRDefault="002577FF" w:rsidP="002577FF">
            <w:pPr>
              <w:spacing w:line="360" w:lineRule="auto"/>
              <w:rPr>
                <w:rFonts w:ascii="宋体" w:eastAsia="宋体" w:hAnsi="宋体"/>
                <w:b/>
                <w:bCs/>
                <w:color w:val="545551"/>
              </w:rPr>
            </w:pPr>
            <w:bookmarkStart w:id="2" w:name="didian"/>
            <w:r w:rsidRPr="002577FF">
              <w:rPr>
                <w:rFonts w:ascii="宋体" w:eastAsia="宋体" w:hAnsi="Times New Roman" w:hint="eastAsia"/>
                <w:b/>
                <w:bCs/>
                <w:color w:val="000000"/>
              </w:rPr>
              <w:t>合伙人·深圳</w:t>
            </w:r>
            <w:bookmarkEnd w:id="2"/>
          </w:p>
          <w:p w14:paraId="6199424A" w14:textId="6ABCD5FA" w:rsidR="0049405C" w:rsidRPr="00187BAA" w:rsidRDefault="002577FF" w:rsidP="002577FF">
            <w:pPr>
              <w:spacing w:line="360" w:lineRule="auto"/>
              <w:rPr>
                <w:rFonts w:ascii="宋体" w:eastAsia="宋体" w:hAnsi="宋体"/>
                <w:color w:val="545551"/>
              </w:rPr>
            </w:pPr>
            <w:bookmarkStart w:id="3" w:name="dianhua"/>
            <w:r w:rsidRPr="002577FF">
              <w:rPr>
                <w:rFonts w:ascii="宋体" w:eastAsia="宋体" w:hAnsi="Times New Roman"/>
                <w:color w:val="000000"/>
              </w:rPr>
              <w:t>+86 755 8159 3999 | +852 3976 8888</w:t>
            </w:r>
            <w:bookmarkEnd w:id="3"/>
          </w:p>
          <w:p w14:paraId="4F910ACA" w14:textId="6969C597" w:rsidR="0049405C" w:rsidRPr="00187BAA" w:rsidRDefault="002577FF" w:rsidP="002577FF">
            <w:pPr>
              <w:spacing w:line="360" w:lineRule="auto"/>
              <w:rPr>
                <w:rFonts w:ascii="宋体" w:eastAsia="宋体" w:hAnsi="宋体"/>
                <w:color w:val="000000"/>
              </w:rPr>
            </w:pPr>
            <w:bookmarkStart w:id="4" w:name="youxiang"/>
            <w:r w:rsidRPr="002577FF">
              <w:rPr>
                <w:rFonts w:ascii="宋体" w:eastAsia="宋体" w:hAnsi="Times New Roman"/>
                <w:color w:val="000000"/>
              </w:rPr>
              <w:t>qiang.ma@fangdalaw.com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D920D2" w:rsidR="0049405C" w:rsidRPr="00187BAA" w:rsidRDefault="002577F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CD0F92" wp14:editId="7911100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3BD67C" w:rsidR="009465FB" w:rsidRPr="00187BAA" w:rsidRDefault="002577FF" w:rsidP="007177F3">
            <w:pPr>
              <w:rPr>
                <w:rFonts w:ascii="宋体" w:eastAsia="宋体" w:hAnsi="宋体"/>
                <w:color w:val="000000"/>
                <w:szCs w:val="21"/>
              </w:rPr>
            </w:pPr>
            <w:bookmarkStart w:id="6" w:name="zhiyelingyu"/>
            <w:r w:rsidRPr="002577FF">
              <w:rPr>
                <w:rFonts w:ascii="宋体" w:eastAsia="宋体" w:hAnsi="Times New Roman" w:hint="eastAsia"/>
                <w:color w:val="000000"/>
                <w:szCs w:val="21"/>
              </w:rPr>
              <w:t>马强律师是方达律师事务所大湾区办公室的合伙人。他的主要执业领域为并购、私募股权投资及资本市场</w:t>
            </w:r>
            <w:r w:rsidRPr="002577FF">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8AF4AC" w14:textId="77777777" w:rsidR="002577F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8CA046" w14:textId="77777777" w:rsidR="002577FF" w:rsidRDefault="002577FF" w:rsidP="002577FF">
      <w:pPr>
        <w:pStyle w:val="af5"/>
        <w:spacing w:after="0" w:line="480" w:lineRule="auto"/>
        <w:rPr>
          <w:rFonts w:ascii="宋体" w:eastAsia="宋体" w:hAnsi="宋体"/>
          <w:b/>
          <w:sz w:val="24"/>
        </w:rPr>
      </w:pPr>
      <w:r w:rsidRPr="002577FF">
        <w:rPr>
          <w:rFonts w:ascii="宋体" w:eastAsia="宋体" w:hAnsi="宋体" w:hint="eastAsia"/>
          <w:b/>
          <w:sz w:val="24"/>
        </w:rPr>
        <w:t>近期代理的主要案件</w:t>
      </w:r>
    </w:p>
    <w:p w14:paraId="24F5D3E4" w14:textId="77777777" w:rsidR="002577FF" w:rsidRDefault="002577FF" w:rsidP="002577FF">
      <w:pPr>
        <w:pStyle w:val="af5"/>
        <w:spacing w:before="120"/>
        <w:rPr>
          <w:rFonts w:ascii="宋体" w:eastAsia="宋体" w:hAnsi="Times New Roman"/>
          <w:color w:val="000000"/>
        </w:rPr>
      </w:pPr>
    </w:p>
    <w:p w14:paraId="14E3AB46" w14:textId="77777777" w:rsidR="002577FF" w:rsidRDefault="002577FF" w:rsidP="002577FF">
      <w:pPr>
        <w:pStyle w:val="af5"/>
        <w:spacing w:before="120"/>
        <w:rPr>
          <w:rFonts w:ascii="宋体" w:eastAsia="宋体" w:hAnsi="Times New Roman"/>
          <w:color w:val="000000"/>
        </w:rPr>
      </w:pPr>
      <w:r>
        <w:rPr>
          <w:rFonts w:ascii="宋体" w:eastAsia="宋体" w:hAnsi="Times New Roman" w:hint="eastAsia"/>
          <w:color w:val="000000"/>
        </w:rPr>
        <w:t>马强律师长期深耕境内外并购重组、战略投融资及资本市场领域。近年来，他持续协助行业领先企业与产业资本在日趋复杂的监管环境中推进产业链整合与战略布局。在涉及多法域的并购、重组与资产剥离，以及在上市公司大额控制权交易与战略入股等项目中，马律师凭借敏锐的商业洞察力与扎实的交易执行能力，在高度不确定的市场环境下为客户持续提供兼具确定性与可落地性的法律解决方案。</w:t>
      </w:r>
    </w:p>
    <w:p w14:paraId="38A573B3" w14:textId="77777777" w:rsidR="002577FF" w:rsidRDefault="002577FF" w:rsidP="002577FF">
      <w:pPr>
        <w:pStyle w:val="af5"/>
        <w:spacing w:before="120"/>
        <w:rPr>
          <w:rFonts w:ascii="宋体" w:eastAsia="宋体" w:hAnsi="Times New Roman"/>
          <w:color w:val="000000"/>
        </w:rPr>
      </w:pPr>
      <w:r>
        <w:rPr>
          <w:rFonts w:ascii="宋体" w:eastAsia="宋体" w:hAnsi="Times New Roman" w:hint="eastAsia"/>
          <w:color w:val="000000"/>
        </w:rPr>
        <w:t>马律师代表客户主导的多宗交易因规模可观、法律结构复杂而备受市场瞩目。以下为其部分近期代表性项目（除特别说明外，马律师均作为牵头法律顾问为客户提供服务）：</w:t>
      </w:r>
    </w:p>
    <w:p w14:paraId="0AE33BBC" w14:textId="77777777" w:rsidR="002577FF" w:rsidRDefault="002577FF" w:rsidP="002577FF">
      <w:pPr>
        <w:pStyle w:val="af5"/>
        <w:numPr>
          <w:ilvl w:val="0"/>
          <w:numId w:val="4"/>
        </w:numPr>
        <w:spacing w:before="120"/>
        <w:ind w:left="690" w:hanging="240"/>
        <w:rPr>
          <w:rFonts w:ascii="宋体" w:eastAsia="宋体" w:hAnsi="Times New Roman"/>
          <w:color w:val="000000"/>
        </w:rPr>
      </w:pPr>
      <w:r w:rsidRPr="002577FF">
        <w:rPr>
          <w:rFonts w:ascii="宋体" w:eastAsia="宋体" w:hAnsi="Times New Roman" w:hint="eastAsia"/>
          <w:color w:val="000000"/>
        </w:rPr>
        <w:t>代表优必选科技（</w:t>
      </w:r>
      <w:r w:rsidRPr="002577FF">
        <w:rPr>
          <w:rFonts w:ascii="宋体" w:eastAsia="宋体" w:hAnsi="Times New Roman"/>
          <w:color w:val="000000"/>
        </w:rPr>
        <w:t>9880.HK）以协议转让和部分要约的方式对锋龙电气（002931.SZ）的控制权收购，交易总对价约人民币16.65亿元，本次交易同时构成优必选作为香港联交所上市公司的重大交易事项。优必选科技是人形机器人的领导者和智能服务机器人的领航企业；</w:t>
      </w:r>
    </w:p>
    <w:p w14:paraId="6AA2AECA" w14:textId="77777777" w:rsidR="002577FF" w:rsidRDefault="002577FF" w:rsidP="002577FF">
      <w:pPr>
        <w:pStyle w:val="af5"/>
        <w:numPr>
          <w:ilvl w:val="0"/>
          <w:numId w:val="5"/>
        </w:numPr>
        <w:spacing w:before="120"/>
        <w:ind w:left="690" w:hanging="240"/>
        <w:rPr>
          <w:rFonts w:ascii="宋体" w:eastAsia="宋体" w:hAnsi="Times New Roman"/>
          <w:color w:val="000000"/>
        </w:rPr>
      </w:pPr>
      <w:r w:rsidRPr="002577FF">
        <w:rPr>
          <w:rFonts w:ascii="宋体" w:eastAsia="宋体" w:hAnsi="Times New Roman"/>
          <w:color w:val="000000"/>
        </w:rPr>
        <w:t>TCL华星光电技术有限公司以人民币137.03亿元的总对价收购LG显示在华核心液晶显示业务；</w:t>
      </w:r>
    </w:p>
    <w:p w14:paraId="38E78B1D" w14:textId="77777777" w:rsidR="002577FF" w:rsidRDefault="002577FF" w:rsidP="002577FF">
      <w:pPr>
        <w:pStyle w:val="af5"/>
        <w:numPr>
          <w:ilvl w:val="0"/>
          <w:numId w:val="6"/>
        </w:numPr>
        <w:spacing w:before="120"/>
        <w:ind w:left="690" w:hanging="240"/>
        <w:rPr>
          <w:rFonts w:ascii="宋体" w:eastAsia="宋体" w:hAnsi="Times New Roman"/>
          <w:color w:val="000000"/>
        </w:rPr>
      </w:pPr>
      <w:r w:rsidRPr="002577FF">
        <w:rPr>
          <w:rFonts w:ascii="宋体" w:eastAsia="宋体" w:hAnsi="Times New Roman" w:hint="eastAsia"/>
          <w:color w:val="000000"/>
        </w:rPr>
        <w:t>迈瑞医疗（</w:t>
      </w:r>
      <w:r w:rsidRPr="002577FF">
        <w:rPr>
          <w:rFonts w:ascii="宋体" w:eastAsia="宋体" w:hAnsi="Times New Roman"/>
          <w:color w:val="000000"/>
        </w:rPr>
        <w:t>300760.SZ）对惠泰医疗（688617.SH）的控制权收购，交易对价约人民币66.5亿元，该交易是中国A股资本市场科创板首单</w:t>
      </w:r>
      <w:r w:rsidRPr="002577FF">
        <w:rPr>
          <w:rFonts w:ascii="宋体" w:eastAsia="宋体" w:hAnsi="Times New Roman"/>
          <w:color w:val="000000"/>
        </w:rPr>
        <w:t>“</w:t>
      </w:r>
      <w:r w:rsidRPr="002577FF">
        <w:rPr>
          <w:rFonts w:ascii="宋体" w:eastAsia="宋体" w:hAnsi="Times New Roman"/>
          <w:color w:val="000000"/>
        </w:rPr>
        <w:t>现金A收A</w:t>
      </w:r>
      <w:r w:rsidRPr="002577FF">
        <w:rPr>
          <w:rFonts w:ascii="宋体" w:eastAsia="宋体" w:hAnsi="Times New Roman"/>
          <w:color w:val="000000"/>
        </w:rPr>
        <w:t>”</w:t>
      </w:r>
      <w:r w:rsidRPr="002577FF">
        <w:rPr>
          <w:rFonts w:ascii="宋体" w:eastAsia="宋体" w:hAnsi="Times New Roman"/>
          <w:color w:val="000000"/>
        </w:rPr>
        <w:t>控制权转让交易，也是中国境内医疗器械企业之间迄今交易金额最高的并购交易；迈瑞医疗的常年法律顾问；迈瑞医疗的其他并购/投资项目；</w:t>
      </w:r>
    </w:p>
    <w:p w14:paraId="52B3E919" w14:textId="77777777" w:rsidR="002577FF" w:rsidRDefault="002577FF" w:rsidP="002577FF">
      <w:pPr>
        <w:pStyle w:val="af5"/>
        <w:numPr>
          <w:ilvl w:val="0"/>
          <w:numId w:val="7"/>
        </w:numPr>
        <w:spacing w:before="120"/>
        <w:ind w:left="690" w:hanging="240"/>
        <w:rPr>
          <w:rFonts w:ascii="宋体" w:eastAsia="宋体" w:hAnsi="Times New Roman"/>
          <w:color w:val="000000"/>
        </w:rPr>
      </w:pPr>
      <w:r w:rsidRPr="002577FF">
        <w:rPr>
          <w:rFonts w:ascii="宋体" w:eastAsia="宋体" w:hAnsi="Times New Roman" w:hint="eastAsia"/>
          <w:color w:val="000000"/>
        </w:rPr>
        <w:t>立讯精密（</w:t>
      </w:r>
      <w:r w:rsidRPr="002577FF">
        <w:rPr>
          <w:rFonts w:ascii="宋体" w:eastAsia="宋体" w:hAnsi="Times New Roman"/>
          <w:color w:val="000000"/>
        </w:rPr>
        <w:t>002475.SZ）全资收购威讯联合半导体有限公司（Qorvo）半导体封装测试产线及相关业务，并与Qorvo达成长期战略合作安排，交易总对价约人民币16.52亿元，交易涉及的产线是Qorvo发展历程以及全球制造网络的重要组成部分；</w:t>
      </w:r>
    </w:p>
    <w:p w14:paraId="4F290031" w14:textId="77777777" w:rsidR="002577FF" w:rsidRDefault="002577FF" w:rsidP="002577FF">
      <w:pPr>
        <w:pStyle w:val="af5"/>
        <w:numPr>
          <w:ilvl w:val="0"/>
          <w:numId w:val="8"/>
        </w:numPr>
        <w:spacing w:before="120"/>
        <w:ind w:left="690" w:hanging="240"/>
        <w:rPr>
          <w:rFonts w:ascii="宋体" w:eastAsia="宋体" w:hAnsi="Times New Roman"/>
          <w:color w:val="000000"/>
        </w:rPr>
      </w:pPr>
      <w:r w:rsidRPr="002577FF">
        <w:rPr>
          <w:rFonts w:ascii="宋体" w:eastAsia="宋体" w:hAnsi="Times New Roman" w:hint="eastAsia"/>
          <w:color w:val="000000"/>
        </w:rPr>
        <w:t>作为唯一法律顾问，协助一家位于中国大湾区的半导体关键装备及零部件研发及制造企业自设立以来的全部战略融资事宜，累计融资规模不低于人民币</w:t>
      </w:r>
      <w:r w:rsidRPr="002577FF">
        <w:rPr>
          <w:rFonts w:ascii="宋体" w:eastAsia="宋体" w:hAnsi="Times New Roman"/>
          <w:color w:val="000000"/>
        </w:rPr>
        <w:t>200亿元。该企业以推动并引领中国半导体产业链自主可控与技术创新为核心目标；</w:t>
      </w:r>
    </w:p>
    <w:p w14:paraId="5B5F5CED" w14:textId="77777777" w:rsidR="002577FF" w:rsidRDefault="002577FF" w:rsidP="002577FF">
      <w:pPr>
        <w:pStyle w:val="af5"/>
        <w:numPr>
          <w:ilvl w:val="0"/>
          <w:numId w:val="9"/>
        </w:numPr>
        <w:spacing w:before="120"/>
        <w:ind w:left="690" w:hanging="240"/>
        <w:rPr>
          <w:rFonts w:ascii="宋体" w:eastAsia="宋体" w:hAnsi="Times New Roman"/>
          <w:color w:val="000000"/>
        </w:rPr>
      </w:pPr>
      <w:r w:rsidRPr="002577FF">
        <w:rPr>
          <w:rFonts w:ascii="宋体" w:eastAsia="宋体" w:hAnsi="Times New Roman"/>
          <w:color w:val="000000"/>
        </w:rPr>
        <w:t>TCL 相关业务单元进行对 Maxeon Solar Technologies 的跨境多法域重组。此次重组涉及对全球超过30 个司法管辖区的跨境合规与监管评估，包含多个收购和剥离交易。重组需应对各地法律监管差异化要求，协调多方利益相关者，时间表紧迫，具有高度挑战性。本交易旨在为 TCL 设立全新业务单元，整合 Maxeon 在全球主要市场的销售及营销资源；</w:t>
      </w:r>
    </w:p>
    <w:p w14:paraId="15E8CCDD" w14:textId="77777777" w:rsidR="002577FF" w:rsidRDefault="002577FF" w:rsidP="002577FF">
      <w:pPr>
        <w:pStyle w:val="af5"/>
        <w:numPr>
          <w:ilvl w:val="0"/>
          <w:numId w:val="10"/>
        </w:numPr>
        <w:spacing w:before="120"/>
        <w:ind w:left="690" w:hanging="240"/>
        <w:rPr>
          <w:rFonts w:ascii="宋体" w:eastAsia="宋体" w:hAnsi="Times New Roman"/>
          <w:color w:val="000000"/>
        </w:rPr>
      </w:pPr>
      <w:r w:rsidRPr="002577FF">
        <w:rPr>
          <w:rFonts w:ascii="宋体" w:eastAsia="宋体" w:hAnsi="Times New Roman"/>
          <w:color w:val="000000"/>
        </w:rPr>
        <w:t>TCL科技（000100.SZ）及TCL华星光电以约11亿美金的对价收购三星显示在华液晶显示业务；TCL华星光电以约24.5亿人民币对价收购苏州工业园区持有的苏州华星30%股权；TCL华星光电与三安半导体（600703.SH）的合资项目（合资公司将从事Micro-LED显示技术的研发）；TCL Technology Investment将TCL教育网之100%股份出售给民生教育集团（01569.HK）； TCL科技的其他并购/投资项目；</w:t>
      </w:r>
    </w:p>
    <w:p w14:paraId="6C8CD037" w14:textId="77777777" w:rsidR="002577FF" w:rsidRDefault="002577FF" w:rsidP="002577FF">
      <w:pPr>
        <w:pStyle w:val="af5"/>
        <w:numPr>
          <w:ilvl w:val="0"/>
          <w:numId w:val="11"/>
        </w:numPr>
        <w:spacing w:before="120"/>
        <w:ind w:left="690" w:hanging="240"/>
        <w:rPr>
          <w:rFonts w:ascii="宋体" w:eastAsia="宋体" w:hAnsi="Times New Roman"/>
          <w:color w:val="000000"/>
        </w:rPr>
      </w:pPr>
      <w:r w:rsidRPr="002577FF">
        <w:rPr>
          <w:rFonts w:ascii="宋体" w:eastAsia="宋体" w:hAnsi="Times New Roman" w:hint="eastAsia"/>
          <w:color w:val="000000"/>
        </w:rPr>
        <w:t>深圳重大产业投资集团作为投资人参与北大方正集团破产重整，并购北大方正持有的方正微电子控制性股权，以及后续完成对日本东芝株式会社及目标公司管理层所持方正微电子少数股权的全资收购；</w:t>
      </w:r>
    </w:p>
    <w:p w14:paraId="6CBFBBF0" w14:textId="77777777" w:rsidR="002577FF" w:rsidRDefault="002577FF" w:rsidP="002577FF">
      <w:pPr>
        <w:pStyle w:val="af5"/>
        <w:numPr>
          <w:ilvl w:val="0"/>
          <w:numId w:val="12"/>
        </w:numPr>
        <w:spacing w:before="120"/>
        <w:ind w:left="690" w:hanging="240"/>
        <w:rPr>
          <w:rFonts w:ascii="宋体" w:eastAsia="宋体" w:hAnsi="Times New Roman"/>
          <w:color w:val="000000"/>
        </w:rPr>
      </w:pPr>
      <w:r w:rsidRPr="002577FF">
        <w:rPr>
          <w:rFonts w:ascii="宋体" w:eastAsia="宋体" w:hAnsi="Times New Roman" w:hint="eastAsia"/>
          <w:color w:val="000000"/>
        </w:rPr>
        <w:t>瑞声科技（</w:t>
      </w:r>
      <w:r w:rsidRPr="002577FF">
        <w:rPr>
          <w:rFonts w:ascii="宋体" w:eastAsia="宋体" w:hAnsi="Times New Roman"/>
          <w:color w:val="000000"/>
        </w:rPr>
        <w:t>02018.HK）在新能源车载设备领域及半导体领域的一系列并购；</w:t>
      </w:r>
    </w:p>
    <w:p w14:paraId="390B2D4B" w14:textId="77777777" w:rsidR="002577FF" w:rsidRDefault="002577FF" w:rsidP="002577FF">
      <w:pPr>
        <w:pStyle w:val="af5"/>
        <w:numPr>
          <w:ilvl w:val="0"/>
          <w:numId w:val="13"/>
        </w:numPr>
        <w:spacing w:before="120"/>
        <w:ind w:left="690" w:hanging="240"/>
        <w:rPr>
          <w:rFonts w:ascii="宋体" w:eastAsia="宋体" w:hAnsi="Times New Roman"/>
          <w:color w:val="000000"/>
        </w:rPr>
      </w:pPr>
      <w:r w:rsidRPr="002577FF">
        <w:rPr>
          <w:rFonts w:ascii="宋体" w:eastAsia="宋体" w:hAnsi="Times New Roman" w:hint="eastAsia"/>
          <w:color w:val="000000"/>
        </w:rPr>
        <w:t>贝特瑞新材料（</w:t>
      </w:r>
      <w:r w:rsidRPr="002577FF">
        <w:rPr>
          <w:rFonts w:ascii="宋体" w:eastAsia="宋体" w:hAnsi="Times New Roman"/>
          <w:color w:val="000000"/>
        </w:rPr>
        <w:t>835185）引入多个战略投资人的战略股权融资，融资金额约人民币7.5亿元，以及随后在北京证券交易所的挂牌及公开发行（募集资金总额约人民币16.72亿元，</w:t>
      </w:r>
      <w:r w:rsidRPr="002577FF">
        <w:rPr>
          <w:rFonts w:ascii="宋体" w:eastAsia="宋体" w:hAnsi="Times New Roman"/>
          <w:color w:val="000000"/>
        </w:rPr>
        <w:t>“</w:t>
      </w:r>
      <w:r w:rsidRPr="002577FF">
        <w:rPr>
          <w:rFonts w:ascii="宋体" w:eastAsia="宋体" w:hAnsi="Times New Roman"/>
          <w:color w:val="000000"/>
        </w:rPr>
        <w:t>《新财富杂志》年度最佳资本市场项目</w:t>
      </w:r>
      <w:r w:rsidRPr="002577FF">
        <w:rPr>
          <w:rFonts w:ascii="宋体" w:eastAsia="宋体" w:hAnsi="Times New Roman"/>
          <w:color w:val="000000"/>
        </w:rPr>
        <w:t>”</w:t>
      </w:r>
      <w:r w:rsidRPr="002577FF">
        <w:rPr>
          <w:rFonts w:ascii="宋体" w:eastAsia="宋体" w:hAnsi="Times New Roman"/>
          <w:color w:val="000000"/>
        </w:rPr>
        <w:t>），贝特瑞新材料是目前北交所市值最高的公司；</w:t>
      </w:r>
    </w:p>
    <w:p w14:paraId="3C6EBB91" w14:textId="77777777" w:rsidR="002577FF" w:rsidRDefault="002577FF" w:rsidP="002577FF">
      <w:pPr>
        <w:pStyle w:val="af5"/>
        <w:numPr>
          <w:ilvl w:val="0"/>
          <w:numId w:val="14"/>
        </w:numPr>
        <w:spacing w:before="120"/>
        <w:ind w:left="690" w:hanging="240"/>
        <w:rPr>
          <w:rFonts w:ascii="宋体" w:eastAsia="宋体" w:hAnsi="Times New Roman"/>
          <w:color w:val="000000"/>
        </w:rPr>
      </w:pPr>
      <w:r w:rsidRPr="002577FF">
        <w:rPr>
          <w:rFonts w:ascii="宋体" w:eastAsia="宋体" w:hAnsi="Times New Roman" w:hint="eastAsia"/>
          <w:color w:val="000000"/>
        </w:rPr>
        <w:t>奈雪的茶（</w:t>
      </w:r>
      <w:r w:rsidRPr="002577FF">
        <w:rPr>
          <w:rFonts w:ascii="宋体" w:eastAsia="宋体" w:hAnsi="Times New Roman"/>
          <w:color w:val="000000"/>
        </w:rPr>
        <w:t>02150.HK）对新茶饮品牌乐乐茶约5亿人民币的战略并购；奈雪的茶约1亿美金的C轮融资（太盟投资集团（PAG）为该轮融资投资人）；</w:t>
      </w:r>
    </w:p>
    <w:p w14:paraId="63F790A6" w14:textId="77777777" w:rsidR="002577FF" w:rsidRDefault="002577FF" w:rsidP="002577FF">
      <w:pPr>
        <w:pStyle w:val="af5"/>
        <w:numPr>
          <w:ilvl w:val="0"/>
          <w:numId w:val="15"/>
        </w:numPr>
        <w:spacing w:before="120"/>
        <w:ind w:left="690" w:hanging="240"/>
        <w:rPr>
          <w:rFonts w:ascii="宋体" w:eastAsia="宋体" w:hAnsi="Times New Roman"/>
          <w:color w:val="000000"/>
        </w:rPr>
      </w:pPr>
      <w:r w:rsidRPr="002577FF">
        <w:rPr>
          <w:rFonts w:ascii="宋体" w:eastAsia="宋体" w:hAnsi="Times New Roman" w:hint="eastAsia"/>
          <w:color w:val="000000"/>
        </w:rPr>
        <w:t>匹克体育科技由华润资本领投的约人民币</w:t>
      </w:r>
      <w:r w:rsidRPr="002577FF">
        <w:rPr>
          <w:rFonts w:ascii="宋体" w:eastAsia="宋体" w:hAnsi="Times New Roman"/>
          <w:color w:val="000000"/>
        </w:rPr>
        <w:t>15亿元的战略股权融资。</w:t>
      </w:r>
    </w:p>
    <w:p w14:paraId="7634A082" w14:textId="77777777" w:rsidR="002577FF" w:rsidRDefault="002577FF" w:rsidP="002577FF">
      <w:pPr>
        <w:pStyle w:val="af5"/>
        <w:spacing w:before="120"/>
        <w:rPr>
          <w:rFonts w:ascii="宋体" w:eastAsia="宋体" w:hAnsi="Times New Roman"/>
          <w:color w:val="000000"/>
        </w:rPr>
      </w:pPr>
      <w:r>
        <w:rPr>
          <w:rFonts w:ascii="宋体" w:eastAsia="宋体" w:hAnsi="Times New Roman" w:hint="eastAsia"/>
          <w:color w:val="000000"/>
        </w:rPr>
        <w:t>马律师亦长期代表市场上最为活跃的一些私募股权投资人参与各类股权投资项目。此外，他在资本市场领域积累了丰富的执业经验，经常代表发行人或投资银行参与境内外资本市场的证券发行项目。</w:t>
      </w:r>
    </w:p>
    <w:p w14:paraId="5035F8F3" w14:textId="77777777" w:rsidR="002577FF" w:rsidRDefault="002577FF" w:rsidP="002577FF">
      <w:pPr>
        <w:pStyle w:val="af5"/>
        <w:spacing w:after="0" w:line="480" w:lineRule="auto"/>
        <w:rPr>
          <w:rFonts w:ascii="宋体" w:eastAsia="宋体" w:hAnsi="宋体"/>
          <w:b/>
          <w:sz w:val="24"/>
        </w:rPr>
      </w:pPr>
      <w:r w:rsidRPr="002577FF">
        <w:rPr>
          <w:rFonts w:ascii="宋体" w:eastAsia="宋体" w:hAnsi="宋体" w:hint="eastAsia"/>
          <w:b/>
          <w:sz w:val="24"/>
        </w:rPr>
        <w:t>教育背景</w:t>
      </w:r>
    </w:p>
    <w:p w14:paraId="0A176DFA" w14:textId="77777777" w:rsidR="002577FF" w:rsidRDefault="002577FF" w:rsidP="002577FF">
      <w:pPr>
        <w:pStyle w:val="af5"/>
        <w:numPr>
          <w:ilvl w:val="0"/>
          <w:numId w:val="16"/>
        </w:numPr>
        <w:spacing w:before="120"/>
        <w:ind w:left="690" w:hanging="240"/>
        <w:rPr>
          <w:rFonts w:ascii="宋体" w:eastAsia="宋体" w:hAnsi="Times New Roman"/>
          <w:color w:val="000000"/>
        </w:rPr>
      </w:pPr>
      <w:r w:rsidRPr="002577FF">
        <w:rPr>
          <w:rFonts w:ascii="宋体" w:eastAsia="宋体" w:hAnsi="Times New Roman" w:hint="eastAsia"/>
          <w:color w:val="000000"/>
        </w:rPr>
        <w:t>西南政法大学，法学硕士</w:t>
      </w:r>
    </w:p>
    <w:p w14:paraId="6C248A8D" w14:textId="77777777" w:rsidR="002577FF" w:rsidRDefault="002577FF" w:rsidP="002577FF">
      <w:pPr>
        <w:pStyle w:val="af5"/>
        <w:numPr>
          <w:ilvl w:val="0"/>
          <w:numId w:val="17"/>
        </w:numPr>
        <w:spacing w:before="120"/>
        <w:ind w:left="690" w:hanging="240"/>
        <w:rPr>
          <w:rFonts w:ascii="宋体" w:eastAsia="宋体" w:hAnsi="Times New Roman"/>
          <w:color w:val="000000"/>
        </w:rPr>
      </w:pPr>
      <w:r w:rsidRPr="002577FF">
        <w:rPr>
          <w:rFonts w:ascii="宋体" w:eastAsia="宋体" w:hAnsi="Times New Roman" w:hint="eastAsia"/>
          <w:color w:val="000000"/>
        </w:rPr>
        <w:t>西南政法大学，法学学士</w:t>
      </w:r>
    </w:p>
    <w:p w14:paraId="17CEFEB5" w14:textId="77777777" w:rsidR="002577FF" w:rsidRDefault="002577FF" w:rsidP="002577FF">
      <w:pPr>
        <w:pStyle w:val="af5"/>
        <w:spacing w:after="0" w:line="480" w:lineRule="auto"/>
        <w:rPr>
          <w:rFonts w:ascii="宋体" w:eastAsia="宋体" w:hAnsi="宋体"/>
          <w:b/>
          <w:sz w:val="24"/>
        </w:rPr>
      </w:pPr>
      <w:r w:rsidRPr="002577FF">
        <w:rPr>
          <w:rFonts w:ascii="宋体" w:eastAsia="宋体" w:hAnsi="宋体" w:hint="eastAsia"/>
          <w:b/>
          <w:sz w:val="24"/>
        </w:rPr>
        <w:t>执业资格</w:t>
      </w:r>
    </w:p>
    <w:p w14:paraId="4F0A196B" w14:textId="7B0E2EF5" w:rsidR="00A46A04" w:rsidRPr="002577FF" w:rsidRDefault="002577FF" w:rsidP="002577FF">
      <w:pPr>
        <w:pStyle w:val="af5"/>
        <w:numPr>
          <w:ilvl w:val="0"/>
          <w:numId w:val="18"/>
        </w:numPr>
        <w:spacing w:before="120"/>
        <w:ind w:left="690" w:hanging="240"/>
        <w:rPr>
          <w:rFonts w:ascii="宋体" w:eastAsia="宋体" w:hAnsi="Times New Roman"/>
          <w:color w:val="000000"/>
        </w:rPr>
      </w:pPr>
      <w:r w:rsidRPr="002577FF">
        <w:rPr>
          <w:rFonts w:ascii="宋体" w:eastAsia="宋体" w:hAnsi="Times New Roman" w:hint="eastAsia"/>
          <w:color w:val="000000"/>
        </w:rPr>
        <w:t>中华人民共和国执业律师</w:t>
      </w:r>
    </w:p>
    <w:sectPr w:rsidR="00A46A04" w:rsidRPr="002577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D1211"/>
    <w:multiLevelType w:val="singleLevel"/>
    <w:tmpl w:val="D45684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D8471E"/>
    <w:multiLevelType w:val="singleLevel"/>
    <w:tmpl w:val="D45684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337480"/>
    <w:multiLevelType w:val="singleLevel"/>
    <w:tmpl w:val="0D00F7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092070"/>
    <w:multiLevelType w:val="singleLevel"/>
    <w:tmpl w:val="EEFCE3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BF0E22"/>
    <w:multiLevelType w:val="singleLevel"/>
    <w:tmpl w:val="4E081C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C81B99"/>
    <w:multiLevelType w:val="singleLevel"/>
    <w:tmpl w:val="E320FE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4DF15D2"/>
    <w:multiLevelType w:val="singleLevel"/>
    <w:tmpl w:val="8EE6B0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007B8A"/>
    <w:multiLevelType w:val="singleLevel"/>
    <w:tmpl w:val="BF48CD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4E648C"/>
    <w:multiLevelType w:val="singleLevel"/>
    <w:tmpl w:val="431884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53884F75"/>
    <w:multiLevelType w:val="singleLevel"/>
    <w:tmpl w:val="767609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D936A4"/>
    <w:multiLevelType w:val="singleLevel"/>
    <w:tmpl w:val="21A668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50F2B2A"/>
    <w:multiLevelType w:val="singleLevel"/>
    <w:tmpl w:val="EA08BC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6EE081C"/>
    <w:multiLevelType w:val="singleLevel"/>
    <w:tmpl w:val="BF281A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5CF5DFF"/>
    <w:multiLevelType w:val="singleLevel"/>
    <w:tmpl w:val="30E8A7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A667E9D"/>
    <w:multiLevelType w:val="singleLevel"/>
    <w:tmpl w:val="8BEC52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FAD5181"/>
    <w:multiLevelType w:val="singleLevel"/>
    <w:tmpl w:val="E780A12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9"/>
  </w:num>
  <w:num w:numId="4">
    <w:abstractNumId w:val="8"/>
  </w:num>
  <w:num w:numId="5">
    <w:abstractNumId w:val="17"/>
  </w:num>
  <w:num w:numId="6">
    <w:abstractNumId w:val="6"/>
  </w:num>
  <w:num w:numId="7">
    <w:abstractNumId w:val="7"/>
  </w:num>
  <w:num w:numId="8">
    <w:abstractNumId w:val="14"/>
  </w:num>
  <w:num w:numId="9">
    <w:abstractNumId w:val="13"/>
  </w:num>
  <w:num w:numId="10">
    <w:abstractNumId w:val="12"/>
  </w:num>
  <w:num w:numId="11">
    <w:abstractNumId w:val="16"/>
  </w:num>
  <w:num w:numId="12">
    <w:abstractNumId w:val="15"/>
  </w:num>
  <w:num w:numId="13">
    <w:abstractNumId w:val="11"/>
  </w:num>
  <w:num w:numId="14">
    <w:abstractNumId w:val="2"/>
  </w:num>
  <w:num w:numId="15">
    <w:abstractNumId w:val="4"/>
  </w:num>
  <w:num w:numId="16">
    <w:abstractNumId w:val="3"/>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577FF"/>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77FF"/>
    <w:pPr>
      <w:spacing w:after="120"/>
    </w:pPr>
  </w:style>
  <w:style w:type="character" w:customStyle="1" w:styleId="af6">
    <w:name w:val="正文文本 字符"/>
    <w:basedOn w:val="a0"/>
    <w:link w:val="af5"/>
    <w:uiPriority w:val="99"/>
    <w:rsid w:val="002577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B326D-01DE-4CBE-B60B-EBC4EB8BF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1559</Characters>
  <Application>Microsoft Office Word</Application>
  <DocSecurity>0</DocSecurity>
  <Lines>12</Lines>
  <Paragraphs>3</Paragraphs>
  <ScaleCrop>false</ScaleCrop>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2026-07-06T20:34:00Z</dcterms:created>
  <dcterms:modified xsi:type="dcterms:W3CDTF">2026-07-06T20:34:00Z</dcterms:modified>
</cp:coreProperties>
</file>