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5466"/>
      </w:tblGrid>
      <w:tr w:rsidR="0049405C" w:rsidRPr="00187BAA" w14:paraId="76EB2C64" w14:textId="77777777" w:rsidTr="00E70303">
        <w:trPr>
          <w:trHeight w:val="3267"/>
        </w:trPr>
        <w:tc>
          <w:tcPr>
            <w:tcW w:w="5485" w:type="dxa"/>
            <w:tcBorders>
              <w:left w:val="single" w:sz="24" w:space="0" w:color="271D78"/>
            </w:tcBorders>
          </w:tcPr>
          <w:p w14:paraId="2C4F11E8" w14:textId="2090AD4A" w:rsidR="0049405C" w:rsidRPr="00187BAA" w:rsidRDefault="00DC2CC1" w:rsidP="00DC2CC1">
            <w:pPr>
              <w:spacing w:line="720" w:lineRule="auto"/>
              <w:rPr>
                <w:rFonts w:ascii="宋体" w:eastAsia="宋体" w:hAnsi="宋体"/>
                <w:color w:val="545551"/>
              </w:rPr>
            </w:pPr>
            <w:bookmarkStart w:id="0" w:name="xingming"/>
            <w:bookmarkStart w:id="1" w:name="_GoBack"/>
            <w:bookmarkEnd w:id="1"/>
            <w:r w:rsidRPr="00DC2CC1">
              <w:rPr>
                <w:rFonts w:ascii="宋体" w:eastAsia="宋体" w:hAnsi="Times New Roman" w:hint="eastAsia"/>
                <w:b/>
                <w:color w:val="000000"/>
                <w:sz w:val="48"/>
              </w:rPr>
              <w:t>林马克</w:t>
            </w:r>
            <w:bookmarkEnd w:id="0"/>
          </w:p>
          <w:p w14:paraId="706EB16B" w14:textId="6954B7F6" w:rsidR="0049405C" w:rsidRPr="00187BAA" w:rsidRDefault="00DC2CC1" w:rsidP="00DC2CC1">
            <w:pPr>
              <w:spacing w:line="360" w:lineRule="auto"/>
              <w:rPr>
                <w:rFonts w:ascii="宋体" w:eastAsia="宋体" w:hAnsi="宋体"/>
                <w:b/>
                <w:bCs/>
                <w:color w:val="545551"/>
              </w:rPr>
            </w:pPr>
            <w:bookmarkStart w:id="2" w:name="didian"/>
            <w:r w:rsidRPr="00DC2CC1">
              <w:rPr>
                <w:rFonts w:ascii="宋体" w:eastAsia="宋体" w:hAnsi="Times New Roman" w:hint="eastAsia"/>
                <w:b/>
                <w:bCs/>
                <w:color w:val="000000"/>
              </w:rPr>
              <w:t>合伙人·香港</w:t>
            </w:r>
            <w:bookmarkEnd w:id="2"/>
          </w:p>
          <w:p w14:paraId="6199424A" w14:textId="72224E87" w:rsidR="0049405C" w:rsidRPr="00187BAA" w:rsidRDefault="00DC2CC1" w:rsidP="00DC2CC1">
            <w:pPr>
              <w:spacing w:line="360" w:lineRule="auto"/>
              <w:rPr>
                <w:rFonts w:ascii="宋体" w:eastAsia="宋体" w:hAnsi="宋体"/>
                <w:color w:val="545551"/>
              </w:rPr>
            </w:pPr>
            <w:bookmarkStart w:id="3" w:name="dianhua"/>
            <w:r w:rsidRPr="00DC2CC1">
              <w:rPr>
                <w:rFonts w:ascii="宋体" w:eastAsia="宋体" w:hAnsi="Times New Roman"/>
                <w:color w:val="000000"/>
              </w:rPr>
              <w:t xml:space="preserve">+852 3749 1179 </w:t>
            </w:r>
            <w:bookmarkEnd w:id="3"/>
          </w:p>
          <w:p w14:paraId="4F910ACA" w14:textId="292B7C0B" w:rsidR="0049405C" w:rsidRPr="00187BAA" w:rsidRDefault="00DC2CC1" w:rsidP="00DC2CC1">
            <w:pPr>
              <w:spacing w:line="360" w:lineRule="auto"/>
              <w:rPr>
                <w:rFonts w:ascii="宋体" w:eastAsia="宋体" w:hAnsi="宋体"/>
                <w:color w:val="000000"/>
              </w:rPr>
            </w:pPr>
            <w:bookmarkStart w:id="4" w:name="youxiang"/>
            <w:r w:rsidRPr="00DC2CC1">
              <w:rPr>
                <w:rFonts w:ascii="宋体" w:eastAsia="宋体" w:hAnsi="Times New Roman"/>
                <w:color w:val="000000"/>
              </w:rPr>
              <w:t>mark.lehmkuhler@fangdalaw.com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310A073" w:rsidR="0049405C" w:rsidRPr="00187BAA" w:rsidRDefault="00DC2CC1"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FE826B5" wp14:editId="0B0545F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4427429" w:rsidR="009465FB" w:rsidRPr="00187BAA" w:rsidRDefault="00DC2CC1" w:rsidP="007177F3">
            <w:pPr>
              <w:rPr>
                <w:rFonts w:ascii="宋体" w:eastAsia="宋体" w:hAnsi="宋体"/>
                <w:color w:val="000000"/>
                <w:szCs w:val="21"/>
              </w:rPr>
            </w:pPr>
            <w:bookmarkStart w:id="6" w:name="zhiyelingyu"/>
            <w:r w:rsidRPr="00DC2CC1">
              <w:rPr>
                <w:rFonts w:ascii="宋体" w:eastAsia="宋体" w:hAnsi="Times New Roman"/>
                <w:color w:val="000000"/>
                <w:szCs w:val="21"/>
              </w:rPr>
              <w:t>MARK LEHMKUHLER是方达香港办公室的合伙人。他的执业领域主要是并购和私募股权交易。</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2092B06" w14:textId="77777777" w:rsidR="00DC2CC1"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04B7733" w14:textId="77777777" w:rsidR="00DC2CC1" w:rsidRDefault="00DC2CC1" w:rsidP="00DC2CC1">
      <w:pPr>
        <w:pStyle w:val="af5"/>
        <w:spacing w:before="120"/>
        <w:rPr>
          <w:rFonts w:ascii="宋体" w:eastAsia="宋体" w:hAnsi="Times New Roman"/>
          <w:color w:val="000000"/>
        </w:rPr>
      </w:pPr>
      <w:r w:rsidRPr="00DC2CC1">
        <w:rPr>
          <w:rFonts w:ascii="宋体" w:eastAsia="宋体" w:hAnsi="Times New Roman"/>
          <w:color w:val="000000"/>
        </w:rPr>
        <w:t>Mark在亚洲执业二十余年，专长于并购和私募股权交易，特别专注于科技、金融服务、能源、医疗、生命科学和基础设施等领域。他在广泛的交易领域拥有丰富的经验，包括私募股权投资组合和退出、杠杆收购、要约收购、私有化、合资企业和战略联盟，以及私募股权基金的成立。</w:t>
      </w:r>
    </w:p>
    <w:p w14:paraId="1452678C" w14:textId="77777777" w:rsidR="00DC2CC1" w:rsidRDefault="00DC2CC1" w:rsidP="00DC2CC1">
      <w:pPr>
        <w:pStyle w:val="af5"/>
        <w:spacing w:before="120"/>
        <w:rPr>
          <w:rFonts w:ascii="宋体" w:eastAsia="宋体" w:hAnsi="Times New Roman"/>
          <w:color w:val="000000"/>
        </w:rPr>
      </w:pPr>
      <w:r w:rsidRPr="00DC2CC1">
        <w:rPr>
          <w:rFonts w:ascii="宋体" w:eastAsia="宋体" w:hAnsi="Times New Roman"/>
          <w:color w:val="000000"/>
        </w:rPr>
        <w:t>MARK曾是Davis Polk的合伙人，随后成为香港Orrick的合伙人。在他的职业生涯中，MARK代表一系列广泛的跨境交易客户处理大型复杂的并购和私募股权交易：包括为中国领先的企业客户，如中国工商银行、中海油、Kuok集团、华润和盛大，中信资本等私募股权公司，以及摩根士丹利、花旗集团和瑞士信贷等全球性金融机构提供服务。</w:t>
      </w:r>
    </w:p>
    <w:p w14:paraId="2D6B9BA5" w14:textId="77777777" w:rsidR="00DC2CC1" w:rsidRDefault="00DC2CC1" w:rsidP="00DC2CC1">
      <w:pPr>
        <w:pStyle w:val="af5"/>
        <w:spacing w:before="120"/>
        <w:rPr>
          <w:rFonts w:ascii="宋体" w:eastAsia="宋体" w:hAnsi="Times New Roman"/>
          <w:color w:val="000000"/>
        </w:rPr>
      </w:pPr>
      <w:r w:rsidRPr="00DC2CC1">
        <w:rPr>
          <w:rFonts w:ascii="宋体" w:eastAsia="宋体" w:hAnsi="Times New Roman"/>
          <w:color w:val="000000"/>
        </w:rPr>
        <w:t>Mark拥有在纽约和香港的执业资格。他在弗吉尼亚大学获得本科和法学学位，曾是埃科尔斯学者、《弗吉尼亚法律评论》的编辑，以及科伊夫勋章学术荣誉协会的成员。在他的职业生涯中，MARK一直被著名的法律刊物如《钱伯斯亚洲》（Chambers Asia）公认为领先的实践者：</w:t>
      </w:r>
    </w:p>
    <w:p w14:paraId="52044C1A" w14:textId="77777777" w:rsidR="00DC2CC1" w:rsidRDefault="00DC2CC1" w:rsidP="00DC2CC1">
      <w:pPr>
        <w:pStyle w:val="af5"/>
        <w:spacing w:before="120"/>
        <w:rPr>
          <w:rFonts w:ascii="宋体" w:eastAsia="宋体" w:hAnsi="Times New Roman"/>
          <w:color w:val="000000"/>
        </w:rPr>
      </w:pPr>
      <w:r w:rsidRPr="00DC2CC1">
        <w:rPr>
          <w:rFonts w:ascii="宋体" w:eastAsia="宋体" w:hAnsi="Times New Roman" w:hint="eastAsia"/>
          <w:color w:val="000000"/>
        </w:rPr>
        <w:t>“高度的正直感，富有创造力，易于合作，并能提供真正可行的建议，给客户留下深刻印象。”</w:t>
      </w:r>
    </w:p>
    <w:p w14:paraId="4CF7BA27" w14:textId="77777777" w:rsidR="00DC2CC1" w:rsidRDefault="00DC2CC1" w:rsidP="00DC2CC1">
      <w:pPr>
        <w:pStyle w:val="af5"/>
        <w:spacing w:before="120"/>
        <w:rPr>
          <w:rFonts w:ascii="宋体" w:eastAsia="宋体" w:hAnsi="Times New Roman"/>
          <w:color w:val="000000"/>
        </w:rPr>
      </w:pPr>
      <w:r w:rsidRPr="00DC2CC1">
        <w:rPr>
          <w:rFonts w:ascii="宋体" w:eastAsia="宋体" w:hAnsi="Times New Roman" w:hint="eastAsia"/>
          <w:color w:val="000000"/>
        </w:rPr>
        <w:t>一位受访者评论道：“是我见过的最优秀的律师，尤其因他代表专注于亚洲的私募股权基金投资中国市场的经验而广受好评。</w:t>
      </w:r>
    </w:p>
    <w:p w14:paraId="76CDEB3E" w14:textId="77777777" w:rsidR="00DC2CC1" w:rsidRDefault="00DC2CC1" w:rsidP="00DC2CC1">
      <w:pPr>
        <w:pStyle w:val="af5"/>
        <w:spacing w:before="120"/>
        <w:rPr>
          <w:rFonts w:ascii="宋体" w:eastAsia="宋体" w:hAnsi="Times New Roman"/>
          <w:color w:val="000000"/>
        </w:rPr>
      </w:pPr>
      <w:r w:rsidRPr="00DC2CC1">
        <w:rPr>
          <w:rFonts w:ascii="宋体" w:eastAsia="宋体" w:hAnsi="Times New Roman" w:hint="eastAsia"/>
          <w:color w:val="000000"/>
        </w:rPr>
        <w:t>“…能极为有效地与其他律所和负责人进行面对面的谈判，并为交易的困难方面找到非常有创意的解决方案。”</w:t>
      </w:r>
    </w:p>
    <w:p w14:paraId="649A96B8" w14:textId="77777777" w:rsidR="00DC2CC1" w:rsidRDefault="00DC2CC1" w:rsidP="00DC2CC1">
      <w:pPr>
        <w:pStyle w:val="af5"/>
        <w:spacing w:before="120"/>
        <w:rPr>
          <w:rFonts w:ascii="宋体" w:eastAsia="宋体" w:hAnsi="Times New Roman"/>
          <w:color w:val="000000"/>
        </w:rPr>
      </w:pPr>
      <w:r w:rsidRPr="00DC2CC1">
        <w:rPr>
          <w:rFonts w:ascii="宋体" w:eastAsia="宋体" w:hAnsi="Times New Roman" w:hint="eastAsia"/>
          <w:color w:val="000000"/>
        </w:rPr>
        <w:t>“受到市场人士的高度尊重，在管理交易时，务实并亲力亲为’。”</w:t>
      </w:r>
    </w:p>
    <w:p w14:paraId="4627D6F3" w14:textId="77777777" w:rsidR="00DC2CC1" w:rsidRDefault="00DC2CC1" w:rsidP="00DC2CC1">
      <w:pPr>
        <w:pStyle w:val="af5"/>
        <w:spacing w:before="120"/>
        <w:rPr>
          <w:rFonts w:ascii="宋体" w:eastAsia="宋体" w:hAnsi="Times New Roman"/>
          <w:color w:val="000000"/>
        </w:rPr>
      </w:pPr>
      <w:r w:rsidRPr="00DC2CC1">
        <w:rPr>
          <w:rFonts w:ascii="宋体" w:eastAsia="宋体" w:hAnsi="Times New Roman" w:hint="eastAsia"/>
          <w:color w:val="000000"/>
        </w:rPr>
        <w:t>“在华尔街和亚洲找到很好的平衡，对客户友好且非常高效。”</w:t>
      </w:r>
    </w:p>
    <w:p w14:paraId="5B1341AA" w14:textId="77777777" w:rsidR="00DC2CC1" w:rsidRDefault="00DC2CC1" w:rsidP="00DC2CC1">
      <w:pPr>
        <w:pStyle w:val="af5"/>
        <w:spacing w:before="120"/>
        <w:rPr>
          <w:rFonts w:ascii="宋体" w:eastAsia="宋体" w:hAnsi="Times New Roman"/>
          <w:color w:val="000000"/>
        </w:rPr>
      </w:pPr>
      <w:r w:rsidRPr="00DC2CC1">
        <w:rPr>
          <w:rFonts w:ascii="宋体" w:eastAsia="宋体" w:hAnsi="Times New Roman" w:hint="eastAsia"/>
          <w:color w:val="000000"/>
        </w:rPr>
        <w:t>“……一位非常注重细节和专注的律师……因其在跨国并购方面的经验而备受推崇。”</w:t>
      </w:r>
    </w:p>
    <w:p w14:paraId="594D7A49" w14:textId="77777777" w:rsidR="00DC2CC1" w:rsidRDefault="00DC2CC1" w:rsidP="00DC2CC1">
      <w:pPr>
        <w:pStyle w:val="af5"/>
        <w:spacing w:after="0" w:line="480" w:lineRule="auto"/>
        <w:rPr>
          <w:rFonts w:ascii="宋体" w:eastAsia="宋体" w:hAnsi="宋体"/>
          <w:b/>
          <w:sz w:val="24"/>
        </w:rPr>
      </w:pPr>
      <w:r w:rsidRPr="00DC2CC1">
        <w:rPr>
          <w:rFonts w:ascii="宋体" w:eastAsia="宋体" w:hAnsi="宋体" w:hint="eastAsia"/>
          <w:b/>
          <w:sz w:val="24"/>
        </w:rPr>
        <w:t>近期代理的主要案件</w:t>
      </w:r>
    </w:p>
    <w:p w14:paraId="51CCE527" w14:textId="77777777" w:rsidR="00DC2CC1" w:rsidRDefault="00DC2CC1" w:rsidP="00DC2CC1">
      <w:pPr>
        <w:pStyle w:val="af5"/>
        <w:spacing w:before="120"/>
        <w:rPr>
          <w:rFonts w:ascii="宋体" w:eastAsia="宋体" w:hAnsi="Times New Roman"/>
          <w:color w:val="000000"/>
        </w:rPr>
      </w:pPr>
    </w:p>
    <w:p w14:paraId="3239DE6D" w14:textId="77777777" w:rsidR="00DC2CC1" w:rsidRDefault="00DC2CC1" w:rsidP="00DC2CC1">
      <w:pPr>
        <w:pStyle w:val="af5"/>
        <w:numPr>
          <w:ilvl w:val="0"/>
          <w:numId w:val="4"/>
        </w:numPr>
        <w:spacing w:before="120"/>
        <w:ind w:left="690" w:hanging="240"/>
        <w:rPr>
          <w:rFonts w:ascii="宋体" w:eastAsia="宋体" w:hAnsi="Times New Roman"/>
          <w:color w:val="000000"/>
        </w:rPr>
      </w:pPr>
      <w:r w:rsidRPr="00DC2CC1">
        <w:rPr>
          <w:rFonts w:ascii="宋体" w:eastAsia="宋体" w:hAnsi="Times New Roman" w:hint="eastAsia"/>
          <w:color w:val="000000"/>
        </w:rPr>
        <w:t>代表由百世集团（</w:t>
      </w:r>
      <w:r w:rsidRPr="00DC2CC1">
        <w:rPr>
          <w:rFonts w:ascii="宋体" w:eastAsia="宋体" w:hAnsi="Times New Roman"/>
          <w:color w:val="000000"/>
        </w:rPr>
        <w:t>BEST Inc.）创始人兼首席执行官及其首席技术官、阿里巴巴集团控股有限公司和菜鸟智能物流网络有限公司的关联公司组成的买方财团经办其对在纳斯达克上市的百世集团的私有化交易，百世集团是业界领先的智慧供应链服务商</w:t>
      </w:r>
    </w:p>
    <w:p w14:paraId="567E2BC5" w14:textId="77777777" w:rsidR="00DC2CC1" w:rsidRDefault="00DC2CC1" w:rsidP="00DC2CC1">
      <w:pPr>
        <w:pStyle w:val="af5"/>
        <w:numPr>
          <w:ilvl w:val="0"/>
          <w:numId w:val="5"/>
        </w:numPr>
        <w:spacing w:before="120"/>
        <w:ind w:left="690" w:hanging="240"/>
        <w:rPr>
          <w:rFonts w:ascii="宋体" w:eastAsia="宋体" w:hAnsi="Times New Roman"/>
          <w:color w:val="000000"/>
        </w:rPr>
      </w:pPr>
      <w:r w:rsidRPr="00DC2CC1">
        <w:rPr>
          <w:rFonts w:ascii="宋体" w:eastAsia="宋体" w:hAnsi="Times New Roman" w:hint="eastAsia"/>
          <w:color w:val="000000"/>
        </w:rPr>
        <w:t>代表中信资本经办其以</w:t>
      </w:r>
      <w:r w:rsidRPr="00DC2CC1">
        <w:rPr>
          <w:rFonts w:ascii="宋体" w:eastAsia="宋体" w:hAnsi="Times New Roman"/>
          <w:color w:val="000000"/>
        </w:rPr>
        <w:t>8.9亿美元对在纳斯达克上市的AsiaInfo-Linkage的私有化收购交易，AsiaInfo-Linkage是中国电信业领先的软件和IT服务提供商</w:t>
      </w:r>
    </w:p>
    <w:p w14:paraId="34E2E874" w14:textId="77777777" w:rsidR="00DC2CC1" w:rsidRDefault="00DC2CC1" w:rsidP="00DC2CC1">
      <w:pPr>
        <w:pStyle w:val="af5"/>
        <w:numPr>
          <w:ilvl w:val="0"/>
          <w:numId w:val="6"/>
        </w:numPr>
        <w:spacing w:before="120"/>
        <w:ind w:left="690" w:hanging="240"/>
        <w:rPr>
          <w:rFonts w:ascii="宋体" w:eastAsia="宋体" w:hAnsi="Times New Roman"/>
          <w:color w:val="000000"/>
        </w:rPr>
      </w:pPr>
      <w:r w:rsidRPr="00DC2CC1">
        <w:rPr>
          <w:rFonts w:ascii="宋体" w:eastAsia="宋体" w:hAnsi="Times New Roman" w:hint="eastAsia"/>
          <w:color w:val="000000"/>
        </w:rPr>
        <w:t>代表中信资本经办其以</w:t>
      </w:r>
      <w:r w:rsidRPr="00DC2CC1">
        <w:rPr>
          <w:rFonts w:ascii="宋体" w:eastAsia="宋体" w:hAnsi="Times New Roman"/>
          <w:color w:val="000000"/>
        </w:rPr>
        <w:t>37亿美元对在纳斯达克上市的分众传媒的私有化收购交易，分众传媒是中国最大的互动数字媒体网络</w:t>
      </w:r>
    </w:p>
    <w:p w14:paraId="1DE1E81E" w14:textId="77777777" w:rsidR="00DC2CC1" w:rsidRDefault="00DC2CC1" w:rsidP="00DC2CC1">
      <w:pPr>
        <w:pStyle w:val="af5"/>
        <w:numPr>
          <w:ilvl w:val="0"/>
          <w:numId w:val="7"/>
        </w:numPr>
        <w:spacing w:before="120"/>
        <w:ind w:left="690" w:hanging="240"/>
        <w:rPr>
          <w:rFonts w:ascii="宋体" w:eastAsia="宋体" w:hAnsi="Times New Roman"/>
          <w:color w:val="000000"/>
        </w:rPr>
      </w:pPr>
      <w:r w:rsidRPr="00DC2CC1">
        <w:rPr>
          <w:rFonts w:ascii="宋体" w:eastAsia="宋体" w:hAnsi="Times New Roman" w:hint="eastAsia"/>
          <w:color w:val="000000"/>
        </w:rPr>
        <w:t>代表盘实资本经办其以</w:t>
      </w:r>
      <w:r w:rsidRPr="00DC2CC1">
        <w:rPr>
          <w:rFonts w:ascii="宋体" w:eastAsia="宋体" w:hAnsi="Times New Roman"/>
          <w:color w:val="000000"/>
        </w:rPr>
        <w:t>7.5亿美元对在纳斯达克上市的Harbin Electric, Inc.的私有化收购的交易，Harbin Electric, Inc.是一家领先的电机开发和制造商</w:t>
      </w:r>
    </w:p>
    <w:p w14:paraId="39A70732" w14:textId="77777777" w:rsidR="00DC2CC1" w:rsidRDefault="00DC2CC1" w:rsidP="00DC2CC1">
      <w:pPr>
        <w:pStyle w:val="af5"/>
        <w:numPr>
          <w:ilvl w:val="0"/>
          <w:numId w:val="8"/>
        </w:numPr>
        <w:spacing w:before="120"/>
        <w:ind w:left="690" w:hanging="240"/>
        <w:rPr>
          <w:rFonts w:ascii="宋体" w:eastAsia="宋体" w:hAnsi="Times New Roman"/>
          <w:color w:val="000000"/>
        </w:rPr>
      </w:pPr>
      <w:r w:rsidRPr="00DC2CC1">
        <w:rPr>
          <w:rFonts w:ascii="宋体" w:eastAsia="宋体" w:hAnsi="Times New Roman" w:hint="eastAsia"/>
          <w:color w:val="000000"/>
        </w:rPr>
        <w:t>代表盛大互动娱乐经办其</w:t>
      </w:r>
      <w:r w:rsidRPr="00DC2CC1">
        <w:rPr>
          <w:rFonts w:ascii="宋体" w:eastAsia="宋体" w:hAnsi="Times New Roman"/>
          <w:color w:val="000000"/>
        </w:rPr>
        <w:t>23亿美元的私有化收购交易，盛大互动娱乐是一家在纳斯达克上市的中国互动媒体公司。</w:t>
      </w:r>
    </w:p>
    <w:p w14:paraId="49B9B41A" w14:textId="77777777" w:rsidR="00DC2CC1" w:rsidRDefault="00DC2CC1" w:rsidP="00DC2CC1">
      <w:pPr>
        <w:pStyle w:val="af5"/>
        <w:numPr>
          <w:ilvl w:val="0"/>
          <w:numId w:val="9"/>
        </w:numPr>
        <w:spacing w:before="120"/>
        <w:ind w:left="690" w:hanging="240"/>
        <w:rPr>
          <w:rFonts w:ascii="宋体" w:eastAsia="宋体" w:hAnsi="Times New Roman"/>
          <w:color w:val="000000"/>
        </w:rPr>
      </w:pPr>
      <w:r w:rsidRPr="00DC2CC1">
        <w:rPr>
          <w:rFonts w:ascii="宋体" w:eastAsia="宋体" w:hAnsi="Times New Roman" w:hint="eastAsia"/>
          <w:color w:val="000000"/>
        </w:rPr>
        <w:t>代表</w:t>
      </w:r>
      <w:r w:rsidRPr="00DC2CC1">
        <w:rPr>
          <w:rFonts w:ascii="宋体" w:eastAsia="宋体" w:hAnsi="Times New Roman"/>
          <w:color w:val="000000"/>
        </w:rPr>
        <w:t>Trax经办其对中国领先的零售人工智能和大数据服务平台Lenztech的收购交易，Trax是人工智能和计算机视觉领域的独角兽公司，并由华平和博裕资本投资</w:t>
      </w:r>
    </w:p>
    <w:p w14:paraId="110FD072" w14:textId="77777777" w:rsidR="00DC2CC1" w:rsidRDefault="00DC2CC1" w:rsidP="00DC2CC1">
      <w:pPr>
        <w:pStyle w:val="af5"/>
        <w:numPr>
          <w:ilvl w:val="0"/>
          <w:numId w:val="10"/>
        </w:numPr>
        <w:spacing w:before="120"/>
        <w:ind w:left="690" w:hanging="240"/>
        <w:rPr>
          <w:rFonts w:ascii="宋体" w:eastAsia="宋体" w:hAnsi="Times New Roman"/>
          <w:color w:val="000000"/>
        </w:rPr>
      </w:pPr>
      <w:r w:rsidRPr="00DC2CC1">
        <w:rPr>
          <w:rFonts w:ascii="宋体" w:eastAsia="宋体" w:hAnsi="Times New Roman" w:hint="eastAsia"/>
          <w:color w:val="000000"/>
        </w:rPr>
        <w:t>代表电讯盈科经办其以</w:t>
      </w:r>
      <w:r w:rsidRPr="00DC2CC1">
        <w:rPr>
          <w:rFonts w:ascii="宋体" w:eastAsia="宋体" w:hAnsi="Times New Roman"/>
          <w:color w:val="000000"/>
        </w:rPr>
        <w:t>2.5亿美元对在纳斯达克上市的SUNDAY Communications的业务和资产的收购交易，SUNDAY Communications是香港领先的2G和3G无线通讯和数据服务提供商</w:t>
      </w:r>
    </w:p>
    <w:p w14:paraId="263577E2" w14:textId="77777777" w:rsidR="00DC2CC1" w:rsidRDefault="00DC2CC1" w:rsidP="00DC2CC1">
      <w:pPr>
        <w:pStyle w:val="af5"/>
        <w:numPr>
          <w:ilvl w:val="0"/>
          <w:numId w:val="11"/>
        </w:numPr>
        <w:spacing w:before="120"/>
        <w:ind w:left="690" w:hanging="240"/>
        <w:rPr>
          <w:rFonts w:ascii="宋体" w:eastAsia="宋体" w:hAnsi="Times New Roman"/>
          <w:color w:val="000000"/>
        </w:rPr>
      </w:pPr>
      <w:r w:rsidRPr="00DC2CC1">
        <w:rPr>
          <w:rFonts w:ascii="宋体" w:eastAsia="宋体" w:hAnsi="Times New Roman" w:hint="eastAsia"/>
          <w:color w:val="000000"/>
        </w:rPr>
        <w:t>代表中国海洋石油有限公司经办其拟以</w:t>
      </w:r>
      <w:r w:rsidRPr="00DC2CC1">
        <w:rPr>
          <w:rFonts w:ascii="宋体" w:eastAsia="宋体" w:hAnsi="Times New Roman"/>
          <w:color w:val="000000"/>
        </w:rPr>
        <w:t>185亿美元收购Unocal的交易</w:t>
      </w:r>
    </w:p>
    <w:p w14:paraId="51F62B6C" w14:textId="77777777" w:rsidR="00DC2CC1" w:rsidRDefault="00DC2CC1" w:rsidP="00DC2CC1">
      <w:pPr>
        <w:pStyle w:val="af5"/>
        <w:numPr>
          <w:ilvl w:val="0"/>
          <w:numId w:val="12"/>
        </w:numPr>
        <w:spacing w:before="120"/>
        <w:ind w:left="690" w:hanging="240"/>
        <w:rPr>
          <w:rFonts w:ascii="宋体" w:eastAsia="宋体" w:hAnsi="Times New Roman"/>
          <w:color w:val="000000"/>
        </w:rPr>
      </w:pPr>
      <w:r w:rsidRPr="00DC2CC1">
        <w:rPr>
          <w:rFonts w:ascii="宋体" w:eastAsia="宋体" w:hAnsi="Times New Roman" w:hint="eastAsia"/>
          <w:color w:val="000000"/>
        </w:rPr>
        <w:t>代表中国工商银行经办其以</w:t>
      </w:r>
      <w:r w:rsidRPr="00DC2CC1">
        <w:rPr>
          <w:rFonts w:ascii="宋体" w:eastAsia="宋体" w:hAnsi="Times New Roman"/>
          <w:color w:val="000000"/>
        </w:rPr>
        <w:t>38亿美元的价格向高盛、安联和美国运通出售10%的股份的交易</w:t>
      </w:r>
    </w:p>
    <w:p w14:paraId="7A8E7600" w14:textId="77777777" w:rsidR="00DC2CC1" w:rsidRDefault="00DC2CC1" w:rsidP="00DC2CC1">
      <w:pPr>
        <w:pStyle w:val="af5"/>
        <w:numPr>
          <w:ilvl w:val="0"/>
          <w:numId w:val="13"/>
        </w:numPr>
        <w:spacing w:before="120"/>
        <w:ind w:left="690" w:hanging="240"/>
        <w:rPr>
          <w:rFonts w:ascii="宋体" w:eastAsia="宋体" w:hAnsi="Times New Roman"/>
          <w:color w:val="000000"/>
        </w:rPr>
      </w:pPr>
      <w:r w:rsidRPr="00DC2CC1">
        <w:rPr>
          <w:rFonts w:ascii="宋体" w:eastAsia="宋体" w:hAnsi="Times New Roman" w:hint="eastAsia"/>
          <w:color w:val="000000"/>
        </w:rPr>
        <w:t>代表华润集团经办其多项投资交易，包括在半导体和医疗行业在内的多项投资</w:t>
      </w:r>
    </w:p>
    <w:p w14:paraId="51C0A15C" w14:textId="77777777" w:rsidR="00DC2CC1" w:rsidRDefault="00DC2CC1" w:rsidP="00DC2CC1">
      <w:pPr>
        <w:pStyle w:val="af5"/>
        <w:numPr>
          <w:ilvl w:val="0"/>
          <w:numId w:val="14"/>
        </w:numPr>
        <w:spacing w:before="120"/>
        <w:ind w:left="690" w:hanging="240"/>
        <w:rPr>
          <w:rFonts w:ascii="宋体" w:eastAsia="宋体" w:hAnsi="Times New Roman"/>
          <w:color w:val="000000"/>
        </w:rPr>
      </w:pPr>
      <w:r w:rsidRPr="00DC2CC1">
        <w:rPr>
          <w:rFonts w:ascii="宋体" w:eastAsia="宋体" w:hAnsi="Times New Roman" w:hint="eastAsia"/>
          <w:color w:val="000000"/>
        </w:rPr>
        <w:t>代表日月光半导体（</w:t>
      </w:r>
      <w:r w:rsidRPr="00DC2CC1">
        <w:rPr>
          <w:rFonts w:ascii="宋体" w:eastAsia="宋体" w:hAnsi="Times New Roman"/>
          <w:color w:val="000000"/>
        </w:rPr>
        <w:t>ASE），全球最大的独立半导体封装测试公司，经办其以7.8亿美元对在纳斯达克上市的新加坡子公司ASE Test的私有化收购交易，以及以1.27亿美元收购NXP Semiconductor持有的Suzhou ASEN Semiconductor的40%股权</w:t>
      </w:r>
    </w:p>
    <w:p w14:paraId="6315B766" w14:textId="77777777" w:rsidR="00DC2CC1" w:rsidRDefault="00DC2CC1" w:rsidP="00DC2CC1">
      <w:pPr>
        <w:pStyle w:val="af5"/>
        <w:numPr>
          <w:ilvl w:val="0"/>
          <w:numId w:val="15"/>
        </w:numPr>
        <w:spacing w:before="120"/>
        <w:ind w:left="690" w:hanging="240"/>
        <w:rPr>
          <w:rFonts w:ascii="宋体" w:eastAsia="宋体" w:hAnsi="Times New Roman"/>
          <w:color w:val="000000"/>
        </w:rPr>
      </w:pPr>
      <w:r w:rsidRPr="00DC2CC1">
        <w:rPr>
          <w:rFonts w:ascii="宋体" w:eastAsia="宋体" w:hAnsi="Times New Roman" w:hint="eastAsia"/>
          <w:color w:val="000000"/>
        </w:rPr>
        <w:t>代表京东经办其以</w:t>
      </w:r>
      <w:r w:rsidRPr="00DC2CC1">
        <w:rPr>
          <w:rFonts w:ascii="宋体" w:eastAsia="宋体" w:hAnsi="Times New Roman"/>
          <w:color w:val="000000"/>
        </w:rPr>
        <w:t>1.15亿美元对在香港交易所上市的中国物流资产的战略投资交易，中国物流资产是中国最大的物流公司之一</w:t>
      </w:r>
    </w:p>
    <w:p w14:paraId="4A1F5EA0" w14:textId="77777777" w:rsidR="00DC2CC1" w:rsidRDefault="00DC2CC1" w:rsidP="00DC2CC1">
      <w:pPr>
        <w:pStyle w:val="af5"/>
        <w:numPr>
          <w:ilvl w:val="0"/>
          <w:numId w:val="16"/>
        </w:numPr>
        <w:spacing w:before="120"/>
        <w:ind w:left="690" w:hanging="240"/>
        <w:rPr>
          <w:rFonts w:ascii="宋体" w:eastAsia="宋体" w:hAnsi="Times New Roman"/>
          <w:color w:val="000000"/>
        </w:rPr>
      </w:pPr>
      <w:r w:rsidRPr="00DC2CC1">
        <w:rPr>
          <w:rFonts w:ascii="宋体" w:eastAsia="宋体" w:hAnsi="Times New Roman" w:hint="eastAsia"/>
          <w:color w:val="000000"/>
        </w:rPr>
        <w:t>代表骏麒资本经办其对首农集团设立的中国乳品合资企业的投资交易</w:t>
      </w:r>
    </w:p>
    <w:p w14:paraId="39EB07B5" w14:textId="77777777" w:rsidR="00DC2CC1" w:rsidRDefault="00DC2CC1" w:rsidP="00DC2CC1">
      <w:pPr>
        <w:pStyle w:val="af5"/>
        <w:numPr>
          <w:ilvl w:val="0"/>
          <w:numId w:val="17"/>
        </w:numPr>
        <w:spacing w:before="120"/>
        <w:ind w:left="690" w:hanging="240"/>
        <w:rPr>
          <w:rFonts w:ascii="宋体" w:eastAsia="宋体" w:hAnsi="Times New Roman"/>
          <w:color w:val="000000"/>
        </w:rPr>
      </w:pPr>
      <w:r w:rsidRPr="00DC2CC1">
        <w:rPr>
          <w:rFonts w:ascii="宋体" w:eastAsia="宋体" w:hAnsi="Times New Roman" w:hint="eastAsia"/>
          <w:color w:val="000000"/>
        </w:rPr>
        <w:t>代表</w:t>
      </w:r>
      <w:r w:rsidRPr="00DC2CC1">
        <w:rPr>
          <w:rFonts w:ascii="宋体" w:eastAsia="宋体" w:hAnsi="Times New Roman"/>
          <w:color w:val="000000"/>
        </w:rPr>
        <w:t>Samena Capital和Cenova Capital经办其以8,300万美元对一家香港高级医疗保健平台Virtus Medical Holdings的投资交易</w:t>
      </w:r>
    </w:p>
    <w:p w14:paraId="19943C14" w14:textId="77777777" w:rsidR="00DC2CC1" w:rsidRDefault="00DC2CC1" w:rsidP="00DC2CC1">
      <w:pPr>
        <w:pStyle w:val="af5"/>
        <w:numPr>
          <w:ilvl w:val="0"/>
          <w:numId w:val="18"/>
        </w:numPr>
        <w:spacing w:before="120"/>
        <w:ind w:left="690" w:hanging="240"/>
        <w:rPr>
          <w:rFonts w:ascii="宋体" w:eastAsia="宋体" w:hAnsi="Times New Roman"/>
          <w:color w:val="000000"/>
        </w:rPr>
      </w:pPr>
      <w:r w:rsidRPr="00DC2CC1">
        <w:rPr>
          <w:rFonts w:ascii="宋体" w:eastAsia="宋体" w:hAnsi="Times New Roman" w:hint="eastAsia"/>
          <w:color w:val="000000"/>
        </w:rPr>
        <w:t>作为纽交所上市的中华水电公司的特别委员会，经办关于</w:t>
      </w:r>
      <w:r w:rsidRPr="00DC2CC1">
        <w:rPr>
          <w:rFonts w:ascii="宋体" w:eastAsia="宋体" w:hAnsi="Times New Roman"/>
          <w:color w:val="000000"/>
        </w:rPr>
        <w:t>NewQuest Capital Partners对其进行的私有化收购交易</w:t>
      </w:r>
    </w:p>
    <w:p w14:paraId="429A1E74" w14:textId="77777777" w:rsidR="00DC2CC1" w:rsidRDefault="00DC2CC1" w:rsidP="00DC2CC1">
      <w:pPr>
        <w:pStyle w:val="af5"/>
        <w:numPr>
          <w:ilvl w:val="0"/>
          <w:numId w:val="19"/>
        </w:numPr>
        <w:spacing w:before="120"/>
        <w:ind w:left="690" w:hanging="240"/>
        <w:rPr>
          <w:rFonts w:ascii="宋体" w:eastAsia="宋体" w:hAnsi="Times New Roman"/>
          <w:color w:val="000000"/>
        </w:rPr>
      </w:pPr>
      <w:r w:rsidRPr="00DC2CC1">
        <w:rPr>
          <w:rFonts w:ascii="宋体" w:eastAsia="宋体" w:hAnsi="Times New Roman" w:hint="eastAsia"/>
          <w:color w:val="000000"/>
        </w:rPr>
        <w:t>代表</w:t>
      </w:r>
      <w:r w:rsidRPr="00DC2CC1">
        <w:rPr>
          <w:rFonts w:ascii="宋体" w:eastAsia="宋体" w:hAnsi="Times New Roman"/>
          <w:color w:val="000000"/>
        </w:rPr>
        <w:t>Yinlong Energy经办其以5,000万美元对在纳斯达克上市的Altair Nantechnologies的多数股权的收购交易，Altair Nantechnologies是一家先进纳米钛酸锂电池和能量存储系统的开发和制造商</w:t>
      </w:r>
    </w:p>
    <w:p w14:paraId="5185B9EB" w14:textId="77777777" w:rsidR="00DC2CC1" w:rsidRDefault="00DC2CC1" w:rsidP="00DC2CC1">
      <w:pPr>
        <w:pStyle w:val="af5"/>
        <w:numPr>
          <w:ilvl w:val="0"/>
          <w:numId w:val="20"/>
        </w:numPr>
        <w:spacing w:before="120"/>
        <w:ind w:left="690" w:hanging="240"/>
        <w:rPr>
          <w:rFonts w:ascii="宋体" w:eastAsia="宋体" w:hAnsi="Times New Roman"/>
          <w:color w:val="000000"/>
        </w:rPr>
      </w:pPr>
      <w:r w:rsidRPr="00DC2CC1">
        <w:rPr>
          <w:rFonts w:ascii="宋体" w:eastAsia="宋体" w:hAnsi="Times New Roman" w:hint="eastAsia"/>
          <w:color w:val="000000"/>
        </w:rPr>
        <w:t>代表</w:t>
      </w:r>
      <w:r w:rsidRPr="00DC2CC1">
        <w:rPr>
          <w:rFonts w:ascii="宋体" w:eastAsia="宋体" w:hAnsi="Times New Roman"/>
          <w:color w:val="000000"/>
        </w:rPr>
        <w:t>Foundation Asset Management AB，Wallenberg family foundations的管理人，经办其对Boston-Power，一家领先的下一代锂离子电池系统制造商的投资交易，包括Boston-Power在中国的绿地制造和研发的合资企业</w:t>
      </w:r>
    </w:p>
    <w:p w14:paraId="40C9042C" w14:textId="77777777" w:rsidR="00DC2CC1" w:rsidRDefault="00DC2CC1" w:rsidP="00DC2CC1">
      <w:pPr>
        <w:pStyle w:val="af5"/>
        <w:numPr>
          <w:ilvl w:val="0"/>
          <w:numId w:val="21"/>
        </w:numPr>
        <w:spacing w:before="120"/>
        <w:ind w:left="690" w:hanging="240"/>
        <w:rPr>
          <w:rFonts w:ascii="宋体" w:eastAsia="宋体" w:hAnsi="Times New Roman"/>
          <w:color w:val="000000"/>
        </w:rPr>
      </w:pPr>
      <w:r w:rsidRPr="00DC2CC1">
        <w:rPr>
          <w:rFonts w:ascii="宋体" w:eastAsia="宋体" w:hAnsi="Times New Roman" w:hint="eastAsia"/>
          <w:color w:val="000000"/>
        </w:rPr>
        <w:t>代表</w:t>
      </w:r>
      <w:r w:rsidRPr="00DC2CC1">
        <w:rPr>
          <w:rFonts w:ascii="宋体" w:eastAsia="宋体" w:hAnsi="Times New Roman"/>
          <w:color w:val="000000"/>
        </w:rPr>
        <w:t>OptAsia Healthcare，一家总部位于香港的医疗保健技术公司，经办其与在纳斯达克上市的Soleno Theraptics成立合资公司的交易</w:t>
      </w:r>
    </w:p>
    <w:p w14:paraId="05493C3F" w14:textId="77777777" w:rsidR="00DC2CC1" w:rsidRDefault="00DC2CC1" w:rsidP="00DC2CC1">
      <w:pPr>
        <w:pStyle w:val="af5"/>
        <w:numPr>
          <w:ilvl w:val="0"/>
          <w:numId w:val="22"/>
        </w:numPr>
        <w:spacing w:before="120"/>
        <w:ind w:left="690" w:hanging="240"/>
        <w:rPr>
          <w:rFonts w:ascii="宋体" w:eastAsia="宋体" w:hAnsi="Times New Roman"/>
          <w:color w:val="000000"/>
        </w:rPr>
      </w:pPr>
      <w:r w:rsidRPr="00DC2CC1">
        <w:rPr>
          <w:rFonts w:ascii="宋体" w:eastAsia="宋体" w:hAnsi="Times New Roman" w:hint="eastAsia"/>
          <w:color w:val="000000"/>
        </w:rPr>
        <w:t>经办云月投资从意大利企业家</w:t>
      </w:r>
      <w:r w:rsidRPr="00DC2CC1">
        <w:rPr>
          <w:rFonts w:ascii="宋体" w:eastAsia="宋体" w:hAnsi="Times New Roman"/>
          <w:color w:val="000000"/>
        </w:rPr>
        <w:t>Alessandro Bastagli和私人投资公司Cassia Investments处收购奢侈品牌上海滩的交易</w:t>
      </w:r>
    </w:p>
    <w:p w14:paraId="137C1795" w14:textId="77777777" w:rsidR="00DC2CC1" w:rsidRDefault="00DC2CC1" w:rsidP="00DC2CC1">
      <w:pPr>
        <w:pStyle w:val="af5"/>
        <w:numPr>
          <w:ilvl w:val="0"/>
          <w:numId w:val="23"/>
        </w:numPr>
        <w:spacing w:before="120"/>
        <w:ind w:left="690" w:hanging="240"/>
        <w:rPr>
          <w:rFonts w:ascii="宋体" w:eastAsia="宋体" w:hAnsi="Times New Roman"/>
          <w:color w:val="000000"/>
        </w:rPr>
      </w:pPr>
      <w:r w:rsidRPr="00DC2CC1">
        <w:rPr>
          <w:rFonts w:ascii="宋体" w:eastAsia="宋体" w:hAnsi="Times New Roman" w:hint="eastAsia"/>
          <w:color w:val="000000"/>
        </w:rPr>
        <w:t>代表瑞信经办其对中国领先的私募股权投资公司崇德基金投资有限公司的投资交易</w:t>
      </w:r>
    </w:p>
    <w:p w14:paraId="15AFE1E1" w14:textId="77777777" w:rsidR="00DC2CC1" w:rsidRDefault="00DC2CC1" w:rsidP="00DC2CC1">
      <w:pPr>
        <w:pStyle w:val="af5"/>
        <w:numPr>
          <w:ilvl w:val="0"/>
          <w:numId w:val="24"/>
        </w:numPr>
        <w:spacing w:before="120"/>
        <w:ind w:left="690" w:hanging="240"/>
        <w:rPr>
          <w:rFonts w:ascii="宋体" w:eastAsia="宋体" w:hAnsi="Times New Roman"/>
          <w:color w:val="000000"/>
        </w:rPr>
      </w:pPr>
      <w:r w:rsidRPr="00DC2CC1">
        <w:rPr>
          <w:rFonts w:ascii="宋体" w:eastAsia="宋体" w:hAnsi="Times New Roman" w:hint="eastAsia"/>
          <w:color w:val="000000"/>
        </w:rPr>
        <w:t>代表高盛经办其对由弘毅资本管理的一系列私募基金的投资交易</w:t>
      </w:r>
    </w:p>
    <w:p w14:paraId="3C22FD9F" w14:textId="77777777" w:rsidR="00DC2CC1" w:rsidRDefault="00DC2CC1" w:rsidP="00DC2CC1">
      <w:pPr>
        <w:pStyle w:val="af5"/>
        <w:numPr>
          <w:ilvl w:val="0"/>
          <w:numId w:val="25"/>
        </w:numPr>
        <w:spacing w:before="120"/>
        <w:ind w:left="690" w:hanging="240"/>
        <w:rPr>
          <w:rFonts w:ascii="宋体" w:eastAsia="宋体" w:hAnsi="Times New Roman"/>
          <w:color w:val="000000"/>
        </w:rPr>
      </w:pPr>
      <w:r w:rsidRPr="00DC2CC1">
        <w:rPr>
          <w:rFonts w:ascii="宋体" w:eastAsia="宋体" w:hAnsi="Times New Roman" w:hint="eastAsia"/>
          <w:color w:val="000000"/>
        </w:rPr>
        <w:t>代表</w:t>
      </w:r>
      <w:r w:rsidRPr="00DC2CC1">
        <w:rPr>
          <w:rFonts w:ascii="宋体" w:eastAsia="宋体" w:hAnsi="Times New Roman"/>
          <w:color w:val="000000"/>
        </w:rPr>
        <w:t>Morgan Stanley Infrastructure Partners经办其在中国和印度进行的多项私募股权投资交易</w:t>
      </w:r>
    </w:p>
    <w:p w14:paraId="62AA7C31" w14:textId="77777777" w:rsidR="00DC2CC1" w:rsidRDefault="00DC2CC1" w:rsidP="00DC2CC1">
      <w:pPr>
        <w:pStyle w:val="af5"/>
        <w:numPr>
          <w:ilvl w:val="0"/>
          <w:numId w:val="26"/>
        </w:numPr>
        <w:spacing w:before="120"/>
        <w:ind w:left="690" w:hanging="240"/>
        <w:rPr>
          <w:rFonts w:ascii="宋体" w:eastAsia="宋体" w:hAnsi="Times New Roman"/>
          <w:color w:val="000000"/>
        </w:rPr>
      </w:pPr>
      <w:r w:rsidRPr="00DC2CC1">
        <w:rPr>
          <w:rFonts w:ascii="宋体" w:eastAsia="宋体" w:hAnsi="Times New Roman" w:hint="eastAsia"/>
          <w:color w:val="000000"/>
        </w:rPr>
        <w:t>代表</w:t>
      </w:r>
      <w:r w:rsidRPr="00DC2CC1">
        <w:rPr>
          <w:rFonts w:ascii="宋体" w:eastAsia="宋体" w:hAnsi="Times New Roman"/>
          <w:color w:val="000000"/>
        </w:rPr>
        <w:t>Nike经办其对Umbro在中国的分销业务的收购交易</w:t>
      </w:r>
    </w:p>
    <w:p w14:paraId="61B7C118" w14:textId="77777777" w:rsidR="00DC2CC1" w:rsidRDefault="00DC2CC1" w:rsidP="00DC2CC1">
      <w:pPr>
        <w:pStyle w:val="af5"/>
        <w:numPr>
          <w:ilvl w:val="0"/>
          <w:numId w:val="27"/>
        </w:numPr>
        <w:spacing w:before="120"/>
        <w:ind w:left="690" w:hanging="240"/>
        <w:rPr>
          <w:rFonts w:ascii="宋体" w:eastAsia="宋体" w:hAnsi="Times New Roman"/>
          <w:color w:val="000000"/>
        </w:rPr>
      </w:pPr>
      <w:r w:rsidRPr="00DC2CC1">
        <w:rPr>
          <w:rFonts w:ascii="宋体" w:eastAsia="宋体" w:hAnsi="Times New Roman" w:hint="eastAsia"/>
          <w:color w:val="000000"/>
        </w:rPr>
        <w:t>代表嘉里集团经办其以</w:t>
      </w:r>
      <w:r w:rsidRPr="00DC2CC1">
        <w:rPr>
          <w:rFonts w:ascii="宋体" w:eastAsia="宋体" w:hAnsi="Times New Roman"/>
          <w:color w:val="000000"/>
        </w:rPr>
        <w:t>9.5亿美元将QGX煤矿出售给蒙古矿业的出售交易</w:t>
      </w:r>
    </w:p>
    <w:p w14:paraId="662E3A0F" w14:textId="77777777" w:rsidR="00DC2CC1" w:rsidRDefault="00DC2CC1" w:rsidP="00DC2CC1">
      <w:pPr>
        <w:pStyle w:val="af5"/>
        <w:numPr>
          <w:ilvl w:val="0"/>
          <w:numId w:val="28"/>
        </w:numPr>
        <w:spacing w:before="120"/>
        <w:ind w:left="690" w:hanging="240"/>
        <w:rPr>
          <w:rFonts w:ascii="宋体" w:eastAsia="宋体" w:hAnsi="Times New Roman"/>
          <w:color w:val="000000"/>
        </w:rPr>
      </w:pPr>
      <w:r w:rsidRPr="00DC2CC1">
        <w:rPr>
          <w:rFonts w:ascii="宋体" w:eastAsia="宋体" w:hAnsi="Times New Roman" w:hint="eastAsia"/>
          <w:color w:val="000000"/>
        </w:rPr>
        <w:t>代表</w:t>
      </w:r>
      <w:r w:rsidRPr="00DC2CC1">
        <w:rPr>
          <w:rFonts w:ascii="宋体" w:eastAsia="宋体" w:hAnsi="Times New Roman"/>
          <w:color w:val="000000"/>
        </w:rPr>
        <w:t>DLF，印度最大的商业房地产开发商，经办其以3亿美元的价格出售豪华酒店集团Amanresorts的交易</w:t>
      </w:r>
    </w:p>
    <w:p w14:paraId="4406A358" w14:textId="77777777" w:rsidR="00DC2CC1" w:rsidRDefault="00DC2CC1" w:rsidP="00DC2CC1">
      <w:pPr>
        <w:pStyle w:val="af5"/>
        <w:numPr>
          <w:ilvl w:val="0"/>
          <w:numId w:val="29"/>
        </w:numPr>
        <w:spacing w:before="120"/>
        <w:ind w:left="690" w:hanging="240"/>
        <w:rPr>
          <w:rFonts w:ascii="宋体" w:eastAsia="宋体" w:hAnsi="Times New Roman"/>
          <w:color w:val="000000"/>
        </w:rPr>
      </w:pPr>
      <w:r w:rsidRPr="00DC2CC1">
        <w:rPr>
          <w:rFonts w:ascii="宋体" w:eastAsia="宋体" w:hAnsi="Times New Roman" w:hint="eastAsia"/>
          <w:color w:val="000000"/>
        </w:rPr>
        <w:t>代表蒙古矿业经办其与中国最大的煤炭生产公司神华集团设立合资公司的交易</w:t>
      </w:r>
    </w:p>
    <w:p w14:paraId="341F71DA" w14:textId="77777777" w:rsidR="00DC2CC1" w:rsidRDefault="00DC2CC1" w:rsidP="00DC2CC1">
      <w:pPr>
        <w:pStyle w:val="af5"/>
        <w:numPr>
          <w:ilvl w:val="0"/>
          <w:numId w:val="30"/>
        </w:numPr>
        <w:spacing w:before="120"/>
        <w:ind w:left="690" w:hanging="240"/>
        <w:rPr>
          <w:rFonts w:ascii="宋体" w:eastAsia="宋体" w:hAnsi="Times New Roman"/>
          <w:color w:val="000000"/>
        </w:rPr>
      </w:pPr>
      <w:r w:rsidRPr="00DC2CC1">
        <w:rPr>
          <w:rFonts w:ascii="宋体" w:eastAsia="宋体" w:hAnsi="Times New Roman" w:hint="eastAsia"/>
          <w:color w:val="000000"/>
        </w:rPr>
        <w:t>代表</w:t>
      </w:r>
      <w:r w:rsidRPr="00DC2CC1">
        <w:rPr>
          <w:rFonts w:ascii="宋体" w:eastAsia="宋体" w:hAnsi="Times New Roman"/>
          <w:color w:val="000000"/>
        </w:rPr>
        <w:t>BearingPoint在第363期破产程序中将其中国开发中心出售给普华永道</w:t>
      </w:r>
    </w:p>
    <w:p w14:paraId="6C230685" w14:textId="77777777" w:rsidR="00DC2CC1" w:rsidRDefault="00DC2CC1" w:rsidP="00DC2CC1">
      <w:pPr>
        <w:pStyle w:val="af5"/>
        <w:numPr>
          <w:ilvl w:val="0"/>
          <w:numId w:val="31"/>
        </w:numPr>
        <w:spacing w:before="120"/>
        <w:ind w:left="690" w:hanging="240"/>
        <w:rPr>
          <w:rFonts w:ascii="宋体" w:eastAsia="宋体" w:hAnsi="Times New Roman"/>
          <w:color w:val="000000"/>
        </w:rPr>
      </w:pPr>
      <w:r w:rsidRPr="00DC2CC1">
        <w:rPr>
          <w:rFonts w:ascii="宋体" w:eastAsia="宋体" w:hAnsi="Times New Roman" w:hint="eastAsia"/>
          <w:color w:val="000000"/>
        </w:rPr>
        <w:t>代表</w:t>
      </w:r>
      <w:r w:rsidRPr="00DC2CC1">
        <w:rPr>
          <w:rFonts w:ascii="宋体" w:eastAsia="宋体" w:hAnsi="Times New Roman"/>
          <w:color w:val="000000"/>
        </w:rPr>
        <w:t>Polo Ralph Lauren经办其重新收购在中国大陆、香港、澳门和台湾的企业的交易</w:t>
      </w:r>
    </w:p>
    <w:p w14:paraId="7B5C5812" w14:textId="77777777" w:rsidR="00DC2CC1" w:rsidRDefault="00DC2CC1" w:rsidP="00DC2CC1">
      <w:pPr>
        <w:pStyle w:val="af5"/>
        <w:numPr>
          <w:ilvl w:val="0"/>
          <w:numId w:val="32"/>
        </w:numPr>
        <w:spacing w:before="120"/>
        <w:ind w:left="690" w:hanging="240"/>
        <w:rPr>
          <w:rFonts w:ascii="宋体" w:eastAsia="宋体" w:hAnsi="Times New Roman"/>
          <w:color w:val="000000"/>
        </w:rPr>
      </w:pPr>
      <w:r w:rsidRPr="00DC2CC1">
        <w:rPr>
          <w:rFonts w:ascii="宋体" w:eastAsia="宋体" w:hAnsi="Times New Roman" w:hint="eastAsia"/>
          <w:color w:val="000000"/>
        </w:rPr>
        <w:t>代表菲律宾长途电话公司（</w:t>
      </w:r>
      <w:r w:rsidRPr="00DC2CC1">
        <w:rPr>
          <w:rFonts w:ascii="宋体" w:eastAsia="宋体" w:hAnsi="Times New Roman"/>
          <w:color w:val="000000"/>
        </w:rPr>
        <w:t>PLDT）经办其向CVC Capital Partners出售其业务处理外包业务的交易</w:t>
      </w:r>
    </w:p>
    <w:p w14:paraId="78DFE1D4" w14:textId="77777777" w:rsidR="00DC2CC1" w:rsidRDefault="00DC2CC1" w:rsidP="00DC2CC1">
      <w:pPr>
        <w:pStyle w:val="af5"/>
        <w:numPr>
          <w:ilvl w:val="0"/>
          <w:numId w:val="33"/>
        </w:numPr>
        <w:spacing w:before="120"/>
        <w:ind w:left="690" w:hanging="240"/>
        <w:rPr>
          <w:rFonts w:ascii="宋体" w:eastAsia="宋体" w:hAnsi="Times New Roman"/>
          <w:color w:val="000000"/>
        </w:rPr>
      </w:pPr>
      <w:r w:rsidRPr="00DC2CC1">
        <w:rPr>
          <w:rFonts w:ascii="宋体" w:eastAsia="宋体" w:hAnsi="Times New Roman" w:hint="eastAsia"/>
          <w:color w:val="000000"/>
        </w:rPr>
        <w:t>代表</w:t>
      </w:r>
      <w:r w:rsidRPr="00DC2CC1">
        <w:rPr>
          <w:rFonts w:ascii="宋体" w:eastAsia="宋体" w:hAnsi="Times New Roman"/>
          <w:color w:val="000000"/>
        </w:rPr>
        <w:t>Artisan du Luxe（John Hardy珠宝和奢侈品品牌的所有者）和其控股股东，经办与私募股权投资公司3i的MBO交易和将公司出售给L Catterton的交易</w:t>
      </w:r>
    </w:p>
    <w:p w14:paraId="4DD9CB5A" w14:textId="77777777" w:rsidR="00DC2CC1" w:rsidRDefault="00DC2CC1" w:rsidP="00DC2CC1">
      <w:pPr>
        <w:pStyle w:val="af5"/>
        <w:numPr>
          <w:ilvl w:val="0"/>
          <w:numId w:val="34"/>
        </w:numPr>
        <w:spacing w:before="120"/>
        <w:ind w:left="690" w:hanging="240"/>
        <w:rPr>
          <w:rFonts w:ascii="宋体" w:eastAsia="宋体" w:hAnsi="Times New Roman"/>
          <w:color w:val="000000"/>
        </w:rPr>
      </w:pPr>
      <w:r w:rsidRPr="00DC2CC1">
        <w:rPr>
          <w:rFonts w:ascii="宋体" w:eastAsia="宋体" w:hAnsi="Times New Roman" w:hint="eastAsia"/>
          <w:color w:val="000000"/>
        </w:rPr>
        <w:t>代表青空银行经办其与新生银行进行拟议合并的交易</w:t>
      </w:r>
    </w:p>
    <w:p w14:paraId="51E248A6" w14:textId="77777777" w:rsidR="00DC2CC1" w:rsidRDefault="00DC2CC1" w:rsidP="00DC2CC1">
      <w:pPr>
        <w:pStyle w:val="af5"/>
        <w:numPr>
          <w:ilvl w:val="0"/>
          <w:numId w:val="35"/>
        </w:numPr>
        <w:spacing w:before="120"/>
        <w:ind w:left="690" w:hanging="240"/>
        <w:rPr>
          <w:rFonts w:ascii="宋体" w:eastAsia="宋体" w:hAnsi="Times New Roman"/>
          <w:color w:val="000000"/>
        </w:rPr>
      </w:pPr>
      <w:r w:rsidRPr="00DC2CC1">
        <w:rPr>
          <w:rFonts w:ascii="宋体" w:eastAsia="宋体" w:hAnsi="Times New Roman" w:hint="eastAsia"/>
          <w:color w:val="000000"/>
        </w:rPr>
        <w:t>经办花旗集团将日兴资产管理出售给</w:t>
      </w:r>
      <w:r w:rsidRPr="00DC2CC1">
        <w:rPr>
          <w:rFonts w:ascii="宋体" w:eastAsia="宋体" w:hAnsi="Times New Roman"/>
          <w:color w:val="000000"/>
        </w:rPr>
        <w:t>Sumitomo Trust的交易</w:t>
      </w:r>
    </w:p>
    <w:p w14:paraId="4E5F1CE5" w14:textId="77777777" w:rsidR="00DC2CC1" w:rsidRDefault="00DC2CC1" w:rsidP="00DC2CC1">
      <w:pPr>
        <w:pStyle w:val="af5"/>
        <w:numPr>
          <w:ilvl w:val="0"/>
          <w:numId w:val="36"/>
        </w:numPr>
        <w:spacing w:before="120"/>
        <w:ind w:left="690" w:hanging="240"/>
        <w:rPr>
          <w:rFonts w:ascii="宋体" w:eastAsia="宋体" w:hAnsi="Times New Roman"/>
          <w:color w:val="000000"/>
        </w:rPr>
      </w:pPr>
      <w:r w:rsidRPr="00DC2CC1">
        <w:rPr>
          <w:rFonts w:ascii="宋体" w:eastAsia="宋体" w:hAnsi="Times New Roman" w:hint="eastAsia"/>
          <w:color w:val="000000"/>
        </w:rPr>
        <w:t>代表</w:t>
      </w:r>
      <w:r w:rsidRPr="00DC2CC1">
        <w:rPr>
          <w:rFonts w:ascii="宋体" w:eastAsia="宋体" w:hAnsi="Times New Roman"/>
          <w:color w:val="000000"/>
        </w:rPr>
        <w:t>NCR Corporation经办其与富士通建立研发合资企业、开发下一代 ATM机的交易</w:t>
      </w:r>
    </w:p>
    <w:p w14:paraId="752E8425" w14:textId="77777777" w:rsidR="00DC2CC1" w:rsidRDefault="00DC2CC1" w:rsidP="00DC2CC1">
      <w:pPr>
        <w:pStyle w:val="af5"/>
        <w:numPr>
          <w:ilvl w:val="0"/>
          <w:numId w:val="37"/>
        </w:numPr>
        <w:spacing w:before="120"/>
        <w:ind w:left="690" w:hanging="240"/>
        <w:rPr>
          <w:rFonts w:ascii="宋体" w:eastAsia="宋体" w:hAnsi="Times New Roman"/>
          <w:color w:val="000000"/>
        </w:rPr>
      </w:pPr>
      <w:r w:rsidRPr="00DC2CC1">
        <w:rPr>
          <w:rFonts w:ascii="宋体" w:eastAsia="宋体" w:hAnsi="Times New Roman" w:hint="eastAsia"/>
          <w:color w:val="000000"/>
        </w:rPr>
        <w:t>代表</w:t>
      </w:r>
      <w:r w:rsidRPr="00DC2CC1">
        <w:rPr>
          <w:rFonts w:ascii="宋体" w:eastAsia="宋体" w:hAnsi="Times New Roman"/>
          <w:color w:val="000000"/>
        </w:rPr>
        <w:t>BancTec经办MBO交易和向JAFCO出售其日本业务的交易</w:t>
      </w:r>
    </w:p>
    <w:p w14:paraId="06278E2F" w14:textId="77777777" w:rsidR="00DC2CC1" w:rsidRDefault="00DC2CC1" w:rsidP="00DC2CC1">
      <w:pPr>
        <w:pStyle w:val="af5"/>
        <w:numPr>
          <w:ilvl w:val="0"/>
          <w:numId w:val="38"/>
        </w:numPr>
        <w:spacing w:before="120"/>
        <w:ind w:left="690" w:hanging="240"/>
        <w:rPr>
          <w:rFonts w:ascii="宋体" w:eastAsia="宋体" w:hAnsi="Times New Roman"/>
          <w:color w:val="000000"/>
        </w:rPr>
      </w:pPr>
      <w:r w:rsidRPr="00DC2CC1">
        <w:rPr>
          <w:rFonts w:ascii="宋体" w:eastAsia="宋体" w:hAnsi="Times New Roman" w:hint="eastAsia"/>
          <w:color w:val="000000"/>
        </w:rPr>
        <w:t>代表</w:t>
      </w:r>
      <w:r w:rsidRPr="00DC2CC1">
        <w:rPr>
          <w:rFonts w:ascii="宋体" w:eastAsia="宋体" w:hAnsi="Times New Roman"/>
          <w:color w:val="000000"/>
        </w:rPr>
        <w:t>Ajinomoto经办其以3.81亿美元将其在香港、马来西亚、菲律宾、新加坡、台湾和泰国等地的一系列合资企业中的权益出售给联合利华的交易</w:t>
      </w:r>
    </w:p>
    <w:p w14:paraId="34A4C300" w14:textId="77777777" w:rsidR="00DC2CC1" w:rsidRDefault="00DC2CC1" w:rsidP="00DC2CC1">
      <w:pPr>
        <w:pStyle w:val="af5"/>
        <w:numPr>
          <w:ilvl w:val="0"/>
          <w:numId w:val="39"/>
        </w:numPr>
        <w:spacing w:before="120"/>
        <w:ind w:left="690" w:hanging="240"/>
        <w:rPr>
          <w:rFonts w:ascii="宋体" w:eastAsia="宋体" w:hAnsi="Times New Roman"/>
          <w:color w:val="000000"/>
        </w:rPr>
      </w:pPr>
      <w:r w:rsidRPr="00DC2CC1">
        <w:rPr>
          <w:rFonts w:ascii="宋体" w:eastAsia="宋体" w:hAnsi="Times New Roman" w:hint="eastAsia"/>
          <w:color w:val="000000"/>
        </w:rPr>
        <w:t>代表</w:t>
      </w:r>
      <w:r w:rsidRPr="00DC2CC1">
        <w:rPr>
          <w:rFonts w:ascii="宋体" w:eastAsia="宋体" w:hAnsi="Times New Roman"/>
          <w:color w:val="000000"/>
        </w:rPr>
        <w:t>Nikko Cordial Securities，原日本第三大券商，就其与花旗集团的日兴所罗门美邦证券和投资银行合资公司提供服务</w:t>
      </w:r>
    </w:p>
    <w:p w14:paraId="373180A8" w14:textId="77777777" w:rsidR="00DC2CC1" w:rsidRDefault="00DC2CC1" w:rsidP="00DC2CC1">
      <w:pPr>
        <w:pStyle w:val="af5"/>
        <w:numPr>
          <w:ilvl w:val="0"/>
          <w:numId w:val="40"/>
        </w:numPr>
        <w:spacing w:before="120"/>
        <w:ind w:left="690" w:hanging="240"/>
        <w:rPr>
          <w:rFonts w:ascii="宋体" w:eastAsia="宋体" w:hAnsi="Times New Roman"/>
          <w:color w:val="000000"/>
        </w:rPr>
      </w:pPr>
      <w:r w:rsidRPr="00DC2CC1">
        <w:rPr>
          <w:rFonts w:ascii="宋体" w:eastAsia="宋体" w:hAnsi="Times New Roman" w:hint="eastAsia"/>
          <w:color w:val="000000"/>
        </w:rPr>
        <w:t>代表</w:t>
      </w:r>
      <w:r w:rsidRPr="00DC2CC1">
        <w:rPr>
          <w:rFonts w:ascii="宋体" w:eastAsia="宋体" w:hAnsi="Times New Roman"/>
          <w:color w:val="000000"/>
        </w:rPr>
        <w:t>Quadrangle Capital Partners经办其以3亿美元投资印度第二大电信塔管理公司TowView的投资交易</w:t>
      </w:r>
    </w:p>
    <w:p w14:paraId="78ED8FF8" w14:textId="77777777" w:rsidR="00DC2CC1" w:rsidRDefault="00DC2CC1" w:rsidP="00DC2CC1">
      <w:pPr>
        <w:pStyle w:val="af5"/>
        <w:numPr>
          <w:ilvl w:val="0"/>
          <w:numId w:val="41"/>
        </w:numPr>
        <w:spacing w:before="120"/>
        <w:ind w:left="690" w:hanging="240"/>
        <w:rPr>
          <w:rFonts w:ascii="宋体" w:eastAsia="宋体" w:hAnsi="Times New Roman"/>
          <w:color w:val="000000"/>
        </w:rPr>
      </w:pPr>
      <w:r w:rsidRPr="00DC2CC1">
        <w:rPr>
          <w:rFonts w:ascii="宋体" w:eastAsia="宋体" w:hAnsi="Times New Roman" w:hint="eastAsia"/>
          <w:color w:val="000000"/>
        </w:rPr>
        <w:t>代表印度政府经办其以</w:t>
      </w:r>
      <w:r w:rsidRPr="00DC2CC1">
        <w:rPr>
          <w:rFonts w:ascii="宋体" w:eastAsia="宋体" w:hAnsi="Times New Roman"/>
          <w:color w:val="000000"/>
        </w:rPr>
        <w:t>25亿美元出售Oil and Natural Gas Corporation 20%的股份的出售交易，这在当时是印度历史上最大的私有化交易</w:t>
      </w:r>
    </w:p>
    <w:p w14:paraId="5C733609" w14:textId="77777777" w:rsidR="00DC2CC1" w:rsidRDefault="00DC2CC1" w:rsidP="00DC2CC1">
      <w:pPr>
        <w:pStyle w:val="af5"/>
        <w:numPr>
          <w:ilvl w:val="0"/>
          <w:numId w:val="42"/>
        </w:numPr>
        <w:spacing w:before="120"/>
        <w:ind w:left="690" w:hanging="240"/>
        <w:rPr>
          <w:rFonts w:ascii="宋体" w:eastAsia="宋体" w:hAnsi="Times New Roman"/>
          <w:color w:val="000000"/>
        </w:rPr>
      </w:pPr>
      <w:r w:rsidRPr="00DC2CC1">
        <w:rPr>
          <w:rFonts w:ascii="宋体" w:eastAsia="宋体" w:hAnsi="Times New Roman" w:hint="eastAsia"/>
          <w:color w:val="000000"/>
        </w:rPr>
        <w:t>代表</w:t>
      </w:r>
      <w:r w:rsidRPr="00DC2CC1">
        <w:rPr>
          <w:rFonts w:ascii="宋体" w:eastAsia="宋体" w:hAnsi="Times New Roman"/>
          <w:color w:val="000000"/>
        </w:rPr>
        <w:t>Emerging Markets Partnership和Telecom Venture Group经办其向印度领先的移动通信运营商BPL Mobile投资1亿美元的股权投资交易</w:t>
      </w:r>
    </w:p>
    <w:p w14:paraId="1CDE524B" w14:textId="77777777" w:rsidR="00DC2CC1" w:rsidRDefault="00DC2CC1" w:rsidP="00DC2CC1">
      <w:pPr>
        <w:pStyle w:val="af5"/>
        <w:numPr>
          <w:ilvl w:val="0"/>
          <w:numId w:val="43"/>
        </w:numPr>
        <w:spacing w:before="120"/>
        <w:ind w:left="690" w:hanging="240"/>
        <w:rPr>
          <w:rFonts w:ascii="宋体" w:eastAsia="宋体" w:hAnsi="Times New Roman"/>
          <w:color w:val="000000"/>
        </w:rPr>
      </w:pPr>
      <w:r w:rsidRPr="00DC2CC1">
        <w:rPr>
          <w:rFonts w:ascii="宋体" w:eastAsia="宋体" w:hAnsi="Times New Roman" w:hint="eastAsia"/>
          <w:color w:val="000000"/>
        </w:rPr>
        <w:t>代表</w:t>
      </w:r>
      <w:r w:rsidRPr="00DC2CC1">
        <w:rPr>
          <w:rFonts w:ascii="宋体" w:eastAsia="宋体" w:hAnsi="Times New Roman"/>
          <w:color w:val="000000"/>
        </w:rPr>
        <w:t>Tata Group经办其对纽交所上市的VSNL的控股权益的收购交易，VSNL是印度国际长途电信服务的主要提供商</w:t>
      </w:r>
    </w:p>
    <w:p w14:paraId="454CD141" w14:textId="77777777" w:rsidR="00DC2CC1" w:rsidRDefault="00DC2CC1" w:rsidP="00DC2CC1">
      <w:pPr>
        <w:pStyle w:val="af5"/>
        <w:numPr>
          <w:ilvl w:val="0"/>
          <w:numId w:val="44"/>
        </w:numPr>
        <w:spacing w:before="120"/>
        <w:ind w:left="690" w:hanging="240"/>
        <w:rPr>
          <w:rFonts w:ascii="宋体" w:eastAsia="宋体" w:hAnsi="Times New Roman"/>
          <w:color w:val="000000"/>
        </w:rPr>
      </w:pPr>
      <w:r w:rsidRPr="00DC2CC1">
        <w:rPr>
          <w:rFonts w:ascii="宋体" w:eastAsia="宋体" w:hAnsi="Times New Roman" w:hint="eastAsia"/>
          <w:color w:val="000000"/>
        </w:rPr>
        <w:t>代表</w:t>
      </w:r>
      <w:r w:rsidRPr="00DC2CC1">
        <w:rPr>
          <w:rFonts w:ascii="宋体" w:eastAsia="宋体" w:hAnsi="Times New Roman"/>
          <w:color w:val="000000"/>
        </w:rPr>
        <w:t>Morgan Stanley和JP Morgan Morgan经办其在印度的投资银行合资企业的交易</w:t>
      </w:r>
    </w:p>
    <w:p w14:paraId="2062A9FF" w14:textId="77777777" w:rsidR="00DC2CC1" w:rsidRDefault="00DC2CC1" w:rsidP="00DC2CC1">
      <w:pPr>
        <w:pStyle w:val="af5"/>
        <w:numPr>
          <w:ilvl w:val="0"/>
          <w:numId w:val="45"/>
        </w:numPr>
        <w:spacing w:before="120"/>
        <w:ind w:left="690" w:hanging="240"/>
        <w:rPr>
          <w:rFonts w:ascii="宋体" w:eastAsia="宋体" w:hAnsi="Times New Roman"/>
          <w:color w:val="000000"/>
        </w:rPr>
      </w:pPr>
      <w:r w:rsidRPr="00DC2CC1">
        <w:rPr>
          <w:rFonts w:ascii="宋体" w:eastAsia="宋体" w:hAnsi="Times New Roman" w:hint="eastAsia"/>
          <w:color w:val="000000"/>
        </w:rPr>
        <w:t>代表</w:t>
      </w:r>
      <w:r w:rsidRPr="00DC2CC1">
        <w:rPr>
          <w:rFonts w:ascii="宋体" w:eastAsia="宋体" w:hAnsi="Times New Roman"/>
          <w:color w:val="000000"/>
        </w:rPr>
        <w:t>Morgan Stanley、Citigroup、Barclays Capital、Lazard、Houlihan Lokey、China Renaissance等投资银行，担任各类跨境并购交易买方和卖方的财务顾问   *上述交易包括在加入方达之前所完成的交易</w:t>
      </w:r>
    </w:p>
    <w:p w14:paraId="7F2C1021" w14:textId="77777777" w:rsidR="00DC2CC1" w:rsidRDefault="00DC2CC1" w:rsidP="00DC2CC1">
      <w:pPr>
        <w:pStyle w:val="af5"/>
        <w:spacing w:after="0" w:line="480" w:lineRule="auto"/>
        <w:rPr>
          <w:rFonts w:ascii="宋体" w:eastAsia="宋体" w:hAnsi="宋体"/>
          <w:b/>
          <w:sz w:val="24"/>
        </w:rPr>
      </w:pPr>
      <w:r w:rsidRPr="00DC2CC1">
        <w:rPr>
          <w:rFonts w:ascii="宋体" w:eastAsia="宋体" w:hAnsi="宋体" w:hint="eastAsia"/>
          <w:b/>
          <w:sz w:val="24"/>
        </w:rPr>
        <w:t>教育背景</w:t>
      </w:r>
    </w:p>
    <w:p w14:paraId="3ABC446C" w14:textId="77777777" w:rsidR="00DC2CC1" w:rsidRDefault="00DC2CC1" w:rsidP="00DC2CC1">
      <w:pPr>
        <w:pStyle w:val="af5"/>
        <w:numPr>
          <w:ilvl w:val="0"/>
          <w:numId w:val="46"/>
        </w:numPr>
        <w:spacing w:before="120"/>
        <w:ind w:left="690" w:hanging="240"/>
        <w:rPr>
          <w:rFonts w:ascii="宋体" w:eastAsia="宋体" w:hAnsi="Times New Roman"/>
          <w:color w:val="000000"/>
        </w:rPr>
      </w:pPr>
      <w:r w:rsidRPr="00DC2CC1">
        <w:rPr>
          <w:rFonts w:ascii="宋体" w:eastAsia="宋体" w:hAnsi="Times New Roman" w:hint="eastAsia"/>
          <w:color w:val="000000"/>
        </w:rPr>
        <w:t>弗吉尼亚大学，法学博士（法学优等生协会），</w:t>
      </w:r>
      <w:r w:rsidRPr="00DC2CC1">
        <w:rPr>
          <w:rFonts w:ascii="宋体" w:eastAsia="宋体" w:hAnsi="Times New Roman"/>
          <w:color w:val="000000"/>
        </w:rPr>
        <w:t>1995</w:t>
      </w:r>
    </w:p>
    <w:p w14:paraId="455882B3" w14:textId="77777777" w:rsidR="00DC2CC1" w:rsidRDefault="00DC2CC1" w:rsidP="00DC2CC1">
      <w:pPr>
        <w:pStyle w:val="af5"/>
        <w:numPr>
          <w:ilvl w:val="0"/>
          <w:numId w:val="47"/>
        </w:numPr>
        <w:spacing w:before="120"/>
        <w:ind w:left="690" w:hanging="240"/>
        <w:rPr>
          <w:rFonts w:ascii="宋体" w:eastAsia="宋体" w:hAnsi="Times New Roman"/>
          <w:color w:val="000000"/>
        </w:rPr>
      </w:pPr>
      <w:r w:rsidRPr="00DC2CC1">
        <w:rPr>
          <w:rFonts w:ascii="宋体" w:eastAsia="宋体" w:hAnsi="Times New Roman" w:hint="eastAsia"/>
          <w:color w:val="000000"/>
        </w:rPr>
        <w:t>弗吉尼亚大学，法学学士（埃科尔斯学者，罗德曼学者），</w:t>
      </w:r>
      <w:r w:rsidRPr="00DC2CC1">
        <w:rPr>
          <w:rFonts w:ascii="宋体" w:eastAsia="宋体" w:hAnsi="Times New Roman"/>
          <w:color w:val="000000"/>
        </w:rPr>
        <w:t>1986</w:t>
      </w:r>
    </w:p>
    <w:p w14:paraId="15F9CC26" w14:textId="77777777" w:rsidR="00DC2CC1" w:rsidRDefault="00DC2CC1" w:rsidP="00DC2CC1">
      <w:pPr>
        <w:pStyle w:val="af5"/>
        <w:spacing w:after="0" w:line="480" w:lineRule="auto"/>
        <w:rPr>
          <w:rFonts w:ascii="宋体" w:eastAsia="宋体" w:hAnsi="宋体"/>
          <w:b/>
          <w:sz w:val="24"/>
        </w:rPr>
      </w:pPr>
      <w:r w:rsidRPr="00DC2CC1">
        <w:rPr>
          <w:rFonts w:ascii="宋体" w:eastAsia="宋体" w:hAnsi="宋体" w:hint="eastAsia"/>
          <w:b/>
          <w:sz w:val="24"/>
        </w:rPr>
        <w:t>执业资格</w:t>
      </w:r>
    </w:p>
    <w:p w14:paraId="29776018" w14:textId="77777777" w:rsidR="00DC2CC1" w:rsidRDefault="00DC2CC1" w:rsidP="00DC2CC1">
      <w:pPr>
        <w:pStyle w:val="af5"/>
        <w:numPr>
          <w:ilvl w:val="0"/>
          <w:numId w:val="48"/>
        </w:numPr>
        <w:spacing w:before="120"/>
        <w:ind w:left="690" w:hanging="240"/>
        <w:rPr>
          <w:rFonts w:ascii="宋体" w:eastAsia="宋体" w:hAnsi="Times New Roman"/>
          <w:color w:val="000000"/>
        </w:rPr>
      </w:pPr>
      <w:r w:rsidRPr="00DC2CC1">
        <w:rPr>
          <w:rFonts w:ascii="宋体" w:eastAsia="宋体" w:hAnsi="Times New Roman" w:hint="eastAsia"/>
          <w:color w:val="000000"/>
        </w:rPr>
        <w:t>香港特别行政区执业律师资格</w:t>
      </w:r>
    </w:p>
    <w:p w14:paraId="4F0A196B" w14:textId="63AE3363" w:rsidR="00A46A04" w:rsidRPr="00DC2CC1" w:rsidRDefault="00DC2CC1" w:rsidP="00DC2CC1">
      <w:pPr>
        <w:pStyle w:val="af5"/>
        <w:numPr>
          <w:ilvl w:val="0"/>
          <w:numId w:val="49"/>
        </w:numPr>
        <w:spacing w:before="120"/>
        <w:ind w:left="690" w:hanging="240"/>
        <w:rPr>
          <w:rFonts w:ascii="宋体" w:eastAsia="宋体" w:hAnsi="Times New Roman"/>
          <w:color w:val="000000"/>
        </w:rPr>
      </w:pPr>
      <w:r w:rsidRPr="00DC2CC1">
        <w:rPr>
          <w:rFonts w:ascii="宋体" w:eastAsia="宋体" w:hAnsi="Times New Roman" w:hint="eastAsia"/>
          <w:color w:val="000000"/>
        </w:rPr>
        <w:t>美国纽约州律师资格</w:t>
      </w:r>
    </w:p>
    <w:sectPr w:rsidR="00A46A04" w:rsidRPr="00DC2CC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D44C5"/>
    <w:multiLevelType w:val="singleLevel"/>
    <w:tmpl w:val="B2EC7AB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0F439DE"/>
    <w:multiLevelType w:val="singleLevel"/>
    <w:tmpl w:val="3EC6C50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2563CAA"/>
    <w:multiLevelType w:val="singleLevel"/>
    <w:tmpl w:val="101C882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58458EE"/>
    <w:multiLevelType w:val="singleLevel"/>
    <w:tmpl w:val="B400E4F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9884DBC"/>
    <w:multiLevelType w:val="singleLevel"/>
    <w:tmpl w:val="2BA486E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E9E7C6F"/>
    <w:multiLevelType w:val="singleLevel"/>
    <w:tmpl w:val="D9784C4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37F152A"/>
    <w:multiLevelType w:val="singleLevel"/>
    <w:tmpl w:val="4DAE974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87860D8"/>
    <w:multiLevelType w:val="singleLevel"/>
    <w:tmpl w:val="584263E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8A807D2"/>
    <w:multiLevelType w:val="singleLevel"/>
    <w:tmpl w:val="8F40285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9B7284D"/>
    <w:multiLevelType w:val="singleLevel"/>
    <w:tmpl w:val="5B74D2C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61A7FDA"/>
    <w:multiLevelType w:val="singleLevel"/>
    <w:tmpl w:val="3F68F40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77F6059"/>
    <w:multiLevelType w:val="singleLevel"/>
    <w:tmpl w:val="C028575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9C702D7"/>
    <w:multiLevelType w:val="singleLevel"/>
    <w:tmpl w:val="04BA9DE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9E031A1"/>
    <w:multiLevelType w:val="singleLevel"/>
    <w:tmpl w:val="65362D5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BEE1366"/>
    <w:multiLevelType w:val="singleLevel"/>
    <w:tmpl w:val="BEAC64E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2F83622F"/>
    <w:multiLevelType w:val="singleLevel"/>
    <w:tmpl w:val="D3307CF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7A457E0"/>
    <w:multiLevelType w:val="singleLevel"/>
    <w:tmpl w:val="535EB7E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9662D60"/>
    <w:multiLevelType w:val="singleLevel"/>
    <w:tmpl w:val="293C5BD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3FF43AF2"/>
    <w:multiLevelType w:val="singleLevel"/>
    <w:tmpl w:val="F3EADF4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56E62BC"/>
    <w:multiLevelType w:val="singleLevel"/>
    <w:tmpl w:val="7818C3E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7387445"/>
    <w:multiLevelType w:val="singleLevel"/>
    <w:tmpl w:val="947CE7C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BE66DD2"/>
    <w:multiLevelType w:val="singleLevel"/>
    <w:tmpl w:val="E86061A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C691D34"/>
    <w:multiLevelType w:val="singleLevel"/>
    <w:tmpl w:val="D378494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CF65159"/>
    <w:multiLevelType w:val="singleLevel"/>
    <w:tmpl w:val="DF22B77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0DF4D6A"/>
    <w:multiLevelType w:val="singleLevel"/>
    <w:tmpl w:val="A63CC09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3FF1A16"/>
    <w:multiLevelType w:val="singleLevel"/>
    <w:tmpl w:val="E086129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6094CCE"/>
    <w:multiLevelType w:val="singleLevel"/>
    <w:tmpl w:val="17D212E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677640D"/>
    <w:multiLevelType w:val="singleLevel"/>
    <w:tmpl w:val="213AF56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6B47292"/>
    <w:multiLevelType w:val="singleLevel"/>
    <w:tmpl w:val="C68A381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9BC42BB"/>
    <w:multiLevelType w:val="singleLevel"/>
    <w:tmpl w:val="4A72661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A3740DD"/>
    <w:multiLevelType w:val="singleLevel"/>
    <w:tmpl w:val="59EAFBD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CEE60DE"/>
    <w:multiLevelType w:val="singleLevel"/>
    <w:tmpl w:val="59EAFBD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05C67D0"/>
    <w:multiLevelType w:val="singleLevel"/>
    <w:tmpl w:val="B04AA09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21F1B64"/>
    <w:multiLevelType w:val="singleLevel"/>
    <w:tmpl w:val="EDB85BE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7E058EC"/>
    <w:multiLevelType w:val="singleLevel"/>
    <w:tmpl w:val="40CEA52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93F557B"/>
    <w:multiLevelType w:val="singleLevel"/>
    <w:tmpl w:val="0C16043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AA759C0"/>
    <w:multiLevelType w:val="singleLevel"/>
    <w:tmpl w:val="3A705F8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FDB72F2"/>
    <w:multiLevelType w:val="singleLevel"/>
    <w:tmpl w:val="D46CCDC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1F9364B"/>
    <w:multiLevelType w:val="singleLevel"/>
    <w:tmpl w:val="E4B2427C"/>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35424A3"/>
    <w:multiLevelType w:val="singleLevel"/>
    <w:tmpl w:val="C032D192"/>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37B0157"/>
    <w:multiLevelType w:val="singleLevel"/>
    <w:tmpl w:val="4CBE6516"/>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55A5884"/>
    <w:multiLevelType w:val="singleLevel"/>
    <w:tmpl w:val="679432D8"/>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64B6BD6"/>
    <w:multiLevelType w:val="singleLevel"/>
    <w:tmpl w:val="57584C8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7926F6C"/>
    <w:multiLevelType w:val="singleLevel"/>
    <w:tmpl w:val="20583CFA"/>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88678D5"/>
    <w:multiLevelType w:val="singleLevel"/>
    <w:tmpl w:val="79DC5C38"/>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AEC154D"/>
    <w:multiLevelType w:val="singleLevel"/>
    <w:tmpl w:val="7424FDEC"/>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DBB421B"/>
    <w:multiLevelType w:val="singleLevel"/>
    <w:tmpl w:val="FEC6925C"/>
    <w:lvl w:ilvl="0">
      <w:start w:val="1"/>
      <w:numFmt w:val="bullet"/>
      <w:lvlText w:val=""/>
      <w:lvlJc w:val="left"/>
      <w:pPr>
        <w:tabs>
          <w:tab w:val="num" w:pos="200"/>
        </w:tabs>
        <w:ind w:left="200" w:hanging="200"/>
      </w:pPr>
      <w:rPr>
        <w:rFonts w:ascii="Wingdings" w:hAnsi="Wingdings" w:hint="default"/>
        <w:sz w:val="16"/>
      </w:rPr>
    </w:lvl>
  </w:abstractNum>
  <w:num w:numId="1">
    <w:abstractNumId w:val="15"/>
  </w:num>
  <w:num w:numId="2">
    <w:abstractNumId w:val="19"/>
  </w:num>
  <w:num w:numId="3">
    <w:abstractNumId w:val="24"/>
  </w:num>
  <w:num w:numId="4">
    <w:abstractNumId w:val="29"/>
  </w:num>
  <w:num w:numId="5">
    <w:abstractNumId w:val="25"/>
  </w:num>
  <w:num w:numId="6">
    <w:abstractNumId w:val="43"/>
  </w:num>
  <w:num w:numId="7">
    <w:abstractNumId w:val="42"/>
  </w:num>
  <w:num w:numId="8">
    <w:abstractNumId w:val="21"/>
  </w:num>
  <w:num w:numId="9">
    <w:abstractNumId w:val="9"/>
  </w:num>
  <w:num w:numId="10">
    <w:abstractNumId w:val="13"/>
  </w:num>
  <w:num w:numId="11">
    <w:abstractNumId w:val="22"/>
  </w:num>
  <w:num w:numId="12">
    <w:abstractNumId w:val="23"/>
  </w:num>
  <w:num w:numId="13">
    <w:abstractNumId w:val="41"/>
  </w:num>
  <w:num w:numId="14">
    <w:abstractNumId w:val="12"/>
  </w:num>
  <w:num w:numId="15">
    <w:abstractNumId w:val="48"/>
  </w:num>
  <w:num w:numId="16">
    <w:abstractNumId w:val="20"/>
  </w:num>
  <w:num w:numId="17">
    <w:abstractNumId w:val="3"/>
  </w:num>
  <w:num w:numId="18">
    <w:abstractNumId w:val="14"/>
  </w:num>
  <w:num w:numId="19">
    <w:abstractNumId w:val="0"/>
  </w:num>
  <w:num w:numId="20">
    <w:abstractNumId w:val="1"/>
  </w:num>
  <w:num w:numId="21">
    <w:abstractNumId w:val="40"/>
  </w:num>
  <w:num w:numId="22">
    <w:abstractNumId w:val="47"/>
  </w:num>
  <w:num w:numId="23">
    <w:abstractNumId w:val="46"/>
  </w:num>
  <w:num w:numId="24">
    <w:abstractNumId w:val="16"/>
  </w:num>
  <w:num w:numId="25">
    <w:abstractNumId w:val="2"/>
  </w:num>
  <w:num w:numId="26">
    <w:abstractNumId w:val="7"/>
  </w:num>
  <w:num w:numId="27">
    <w:abstractNumId w:val="17"/>
  </w:num>
  <w:num w:numId="28">
    <w:abstractNumId w:val="26"/>
  </w:num>
  <w:num w:numId="29">
    <w:abstractNumId w:val="11"/>
  </w:num>
  <w:num w:numId="30">
    <w:abstractNumId w:val="8"/>
  </w:num>
  <w:num w:numId="31">
    <w:abstractNumId w:val="18"/>
  </w:num>
  <w:num w:numId="32">
    <w:abstractNumId w:val="30"/>
  </w:num>
  <w:num w:numId="33">
    <w:abstractNumId w:val="44"/>
  </w:num>
  <w:num w:numId="34">
    <w:abstractNumId w:val="4"/>
  </w:num>
  <w:num w:numId="35">
    <w:abstractNumId w:val="27"/>
  </w:num>
  <w:num w:numId="36">
    <w:abstractNumId w:val="34"/>
  </w:num>
  <w:num w:numId="37">
    <w:abstractNumId w:val="38"/>
  </w:num>
  <w:num w:numId="38">
    <w:abstractNumId w:val="10"/>
  </w:num>
  <w:num w:numId="39">
    <w:abstractNumId w:val="39"/>
  </w:num>
  <w:num w:numId="40">
    <w:abstractNumId w:val="36"/>
  </w:num>
  <w:num w:numId="41">
    <w:abstractNumId w:val="5"/>
  </w:num>
  <w:num w:numId="42">
    <w:abstractNumId w:val="37"/>
  </w:num>
  <w:num w:numId="43">
    <w:abstractNumId w:val="45"/>
  </w:num>
  <w:num w:numId="44">
    <w:abstractNumId w:val="31"/>
  </w:num>
  <w:num w:numId="45">
    <w:abstractNumId w:val="6"/>
  </w:num>
  <w:num w:numId="46">
    <w:abstractNumId w:val="35"/>
  </w:num>
  <w:num w:numId="47">
    <w:abstractNumId w:val="28"/>
  </w:num>
  <w:num w:numId="48">
    <w:abstractNumId w:val="32"/>
  </w:num>
  <w:num w:numId="4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C2CC1"/>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C2CC1"/>
    <w:pPr>
      <w:spacing w:after="120"/>
    </w:pPr>
  </w:style>
  <w:style w:type="character" w:customStyle="1" w:styleId="af6">
    <w:name w:val="正文文本 字符"/>
    <w:basedOn w:val="a0"/>
    <w:link w:val="af5"/>
    <w:uiPriority w:val="99"/>
    <w:rsid w:val="00DC2CC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D42AF0-F430-44C6-B71F-01523B0574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543</Words>
  <Characters>3099</Characters>
  <Application>Microsoft Office Word</Application>
  <DocSecurity>0</DocSecurity>
  <Lines>25</Lines>
  <Paragraphs>7</Paragraphs>
  <ScaleCrop>false</ScaleCrop>
  <Company/>
  <LinksUpToDate>false</LinksUpToDate>
  <CharactersWithSpaces>3635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2026-11-06T21:42:00Z</dcterms:created>
  <dcterms:modified xsi:type="dcterms:W3CDTF">2026-11-06T21:42:00Z</dcterms:modified>
</cp:coreProperties>
</file>