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1CDB71" w:rsidR="0049405C" w:rsidRPr="00187BAA" w:rsidRDefault="00A2015D" w:rsidP="00A2015D">
            <w:pPr>
              <w:spacing w:line="720" w:lineRule="auto"/>
              <w:rPr>
                <w:rFonts w:ascii="宋体" w:eastAsia="宋体" w:hAnsi="宋体"/>
                <w:color w:val="545551"/>
              </w:rPr>
            </w:pPr>
            <w:bookmarkStart w:id="0" w:name="xingming"/>
            <w:bookmarkStart w:id="1" w:name="_GoBack"/>
            <w:bookmarkEnd w:id="1"/>
            <w:r w:rsidRPr="00A2015D">
              <w:rPr>
                <w:rFonts w:ascii="宋体" w:eastAsia="宋体" w:hAnsi="Times New Roman" w:hint="eastAsia"/>
                <w:b/>
                <w:color w:val="000000"/>
                <w:sz w:val="48"/>
              </w:rPr>
              <w:t>亓培冰</w:t>
            </w:r>
            <w:bookmarkEnd w:id="0"/>
          </w:p>
          <w:p w14:paraId="706EB16B" w14:textId="7E1B6D9E" w:rsidR="0049405C" w:rsidRPr="00187BAA" w:rsidRDefault="00A2015D" w:rsidP="00A2015D">
            <w:pPr>
              <w:spacing w:line="360" w:lineRule="auto"/>
              <w:rPr>
                <w:rFonts w:ascii="宋体" w:eastAsia="宋体" w:hAnsi="宋体"/>
                <w:b/>
                <w:bCs/>
                <w:color w:val="545551"/>
              </w:rPr>
            </w:pPr>
            <w:bookmarkStart w:id="2" w:name="didian"/>
            <w:r w:rsidRPr="00A2015D">
              <w:rPr>
                <w:rFonts w:ascii="宋体" w:eastAsia="宋体" w:hAnsi="Times New Roman" w:hint="eastAsia"/>
                <w:b/>
                <w:bCs/>
                <w:color w:val="000000"/>
              </w:rPr>
              <w:t>博士合伙人·北京</w:t>
            </w:r>
            <w:bookmarkEnd w:id="2"/>
          </w:p>
          <w:p w14:paraId="6199424A" w14:textId="7D4931FE" w:rsidR="0049405C" w:rsidRPr="00187BAA" w:rsidRDefault="00A2015D" w:rsidP="00A2015D">
            <w:pPr>
              <w:spacing w:line="360" w:lineRule="auto"/>
              <w:rPr>
                <w:rFonts w:ascii="宋体" w:eastAsia="宋体" w:hAnsi="宋体"/>
                <w:color w:val="545551"/>
              </w:rPr>
            </w:pPr>
            <w:bookmarkStart w:id="3" w:name="dianhua"/>
            <w:r w:rsidRPr="00A2015D">
              <w:rPr>
                <w:rFonts w:ascii="宋体" w:eastAsia="宋体" w:hAnsi="Times New Roman"/>
                <w:color w:val="000000"/>
              </w:rPr>
              <w:t xml:space="preserve">+86 10 5769 5601 </w:t>
            </w:r>
            <w:bookmarkEnd w:id="3"/>
          </w:p>
          <w:p w14:paraId="4F910ACA" w14:textId="7C0FD72E" w:rsidR="0049405C" w:rsidRPr="00187BAA" w:rsidRDefault="00A2015D" w:rsidP="00A2015D">
            <w:pPr>
              <w:spacing w:line="360" w:lineRule="auto"/>
              <w:rPr>
                <w:rFonts w:ascii="宋体" w:eastAsia="宋体" w:hAnsi="宋体"/>
                <w:color w:val="000000"/>
              </w:rPr>
            </w:pPr>
            <w:bookmarkStart w:id="4" w:name="youxiang"/>
            <w:r w:rsidRPr="00A2015D">
              <w:rPr>
                <w:rFonts w:ascii="宋体" w:eastAsia="宋体" w:hAnsi="Times New Roman"/>
                <w:color w:val="000000"/>
              </w:rPr>
              <w:t>peibing.qi@fangdalaw.com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50D7B6" w:rsidR="0049405C" w:rsidRPr="00187BAA" w:rsidRDefault="00A2015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C704465" wp14:editId="642F6D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BEEDEF" w:rsidR="009465FB" w:rsidRPr="00187BAA" w:rsidRDefault="00A2015D" w:rsidP="007177F3">
            <w:pPr>
              <w:rPr>
                <w:rFonts w:ascii="宋体" w:eastAsia="宋体" w:hAnsi="宋体"/>
                <w:color w:val="000000"/>
                <w:szCs w:val="21"/>
              </w:rPr>
            </w:pPr>
            <w:bookmarkStart w:id="6" w:name="zhiyelingyu"/>
            <w:r w:rsidRPr="00A2015D">
              <w:rPr>
                <w:rFonts w:ascii="宋体" w:eastAsia="宋体" w:hAnsi="Times New Roman" w:hint="eastAsia"/>
                <w:color w:val="000000"/>
                <w:szCs w:val="21"/>
              </w:rPr>
              <w:t>亓培冰博士专长诉讼与仲裁，尤其是金融、房地产与建设工程、公司股权、商事合同、侵权等复杂商事争议的解决。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44AB08" w14:textId="77777777" w:rsidR="00A2015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3AC578" w14:textId="77777777" w:rsidR="00A2015D" w:rsidRDefault="00A2015D" w:rsidP="00A2015D">
      <w:pPr>
        <w:pStyle w:val="af5"/>
        <w:spacing w:before="120"/>
        <w:rPr>
          <w:rFonts w:ascii="宋体" w:eastAsia="宋体" w:hAnsi="Times New Roman"/>
          <w:color w:val="000000"/>
        </w:rPr>
      </w:pPr>
      <w:r w:rsidRPr="00A2015D">
        <w:rPr>
          <w:rFonts w:ascii="宋体" w:eastAsia="宋体" w:hAnsi="Times New Roman" w:hint="eastAsia"/>
          <w:color w:val="000000"/>
        </w:rPr>
        <w:t>亓培冰博士</w:t>
      </w:r>
      <w:r w:rsidRPr="00A2015D">
        <w:rPr>
          <w:rFonts w:ascii="宋体" w:eastAsia="宋体" w:hAnsi="Times New Roman"/>
          <w:color w:val="000000"/>
        </w:rPr>
        <w:t>2017年作为合伙人加入方达律师事务所。在此之前，他曾经在法院系统工作18年。</w:t>
      </w:r>
    </w:p>
    <w:p w14:paraId="10D45BB6"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近期代理的主要案件</w:t>
      </w:r>
    </w:p>
    <w:p w14:paraId="433140B1" w14:textId="77777777" w:rsidR="00A2015D" w:rsidRDefault="00A2015D" w:rsidP="00A2015D">
      <w:pPr>
        <w:pStyle w:val="af5"/>
        <w:spacing w:before="120"/>
        <w:rPr>
          <w:rFonts w:ascii="宋体" w:eastAsia="宋体" w:hAnsi="Times New Roman"/>
          <w:color w:val="000000"/>
        </w:rPr>
      </w:pPr>
      <w:r w:rsidRPr="00A2015D">
        <w:rPr>
          <w:rFonts w:ascii="宋体" w:eastAsia="宋体" w:hAnsi="Times New Roman" w:hint="eastAsia"/>
          <w:color w:val="000000"/>
        </w:rPr>
        <w:t>金融类案件</w:t>
      </w:r>
    </w:p>
    <w:p w14:paraId="7F06F3B9" w14:textId="77777777" w:rsidR="00A2015D" w:rsidRDefault="00A2015D" w:rsidP="00A2015D">
      <w:pPr>
        <w:pStyle w:val="af5"/>
        <w:numPr>
          <w:ilvl w:val="0"/>
          <w:numId w:val="1"/>
        </w:numPr>
        <w:spacing w:before="120"/>
        <w:ind w:left="690" w:hanging="240"/>
        <w:rPr>
          <w:rFonts w:ascii="宋体" w:eastAsia="宋体" w:hAnsi="Times New Roman"/>
          <w:color w:val="000000"/>
        </w:rPr>
      </w:pPr>
      <w:r w:rsidRPr="00A2015D">
        <w:rPr>
          <w:rFonts w:ascii="宋体" w:eastAsia="宋体" w:hAnsi="Times New Roman" w:hint="eastAsia"/>
          <w:color w:val="000000"/>
        </w:rPr>
        <w:t>代表中国联通某省分公司，在与某商业银行的</w:t>
      </w:r>
      <w:r w:rsidRPr="00A2015D">
        <w:rPr>
          <w:rFonts w:ascii="宋体" w:eastAsia="宋体" w:hAnsi="Times New Roman"/>
          <w:color w:val="000000"/>
        </w:rPr>
        <w:t>37起应收账款质押纠纷中取得全部案件胜诉，涉及标的3亿多元；</w:t>
      </w:r>
    </w:p>
    <w:p w14:paraId="48D81A40" w14:textId="77777777" w:rsidR="00A2015D" w:rsidRDefault="00A2015D" w:rsidP="00A2015D">
      <w:pPr>
        <w:pStyle w:val="af5"/>
        <w:numPr>
          <w:ilvl w:val="0"/>
          <w:numId w:val="2"/>
        </w:numPr>
        <w:spacing w:before="120"/>
        <w:ind w:left="690" w:hanging="240"/>
        <w:rPr>
          <w:rFonts w:ascii="宋体" w:eastAsia="宋体" w:hAnsi="Times New Roman"/>
          <w:color w:val="000000"/>
        </w:rPr>
      </w:pPr>
      <w:r w:rsidRPr="00A2015D">
        <w:rPr>
          <w:rFonts w:ascii="宋体" w:eastAsia="宋体" w:hAnsi="Times New Roman" w:hint="eastAsia"/>
          <w:color w:val="000000"/>
        </w:rPr>
        <w:t>代表云南云天化集团，在昆明中院审理的与云南某投资公司的融资性贸易纠纷中取得胜诉，涉及标的</w:t>
      </w:r>
      <w:r w:rsidRPr="00A2015D">
        <w:rPr>
          <w:rFonts w:ascii="宋体" w:eastAsia="宋体" w:hAnsi="Times New Roman"/>
          <w:color w:val="000000"/>
        </w:rPr>
        <w:t>1.6亿元；</w:t>
      </w:r>
    </w:p>
    <w:p w14:paraId="597DD1C0" w14:textId="77777777" w:rsidR="00A2015D" w:rsidRDefault="00A2015D" w:rsidP="00A2015D">
      <w:pPr>
        <w:pStyle w:val="af5"/>
        <w:numPr>
          <w:ilvl w:val="0"/>
          <w:numId w:val="3"/>
        </w:numPr>
        <w:spacing w:before="120"/>
        <w:ind w:left="690" w:hanging="240"/>
        <w:rPr>
          <w:rFonts w:ascii="宋体" w:eastAsia="宋体" w:hAnsi="Times New Roman"/>
          <w:color w:val="000000"/>
        </w:rPr>
      </w:pPr>
      <w:r w:rsidRPr="00A2015D">
        <w:rPr>
          <w:rFonts w:ascii="宋体" w:eastAsia="宋体" w:hAnsi="Times New Roman" w:hint="eastAsia"/>
          <w:color w:val="000000"/>
        </w:rPr>
        <w:t>代表某证券公司，在与某集团公司的股票收益权回购纠纷案件取得胜诉，涉及标的</w:t>
      </w:r>
      <w:r w:rsidRPr="00A2015D">
        <w:rPr>
          <w:rFonts w:ascii="宋体" w:eastAsia="宋体" w:hAnsi="Times New Roman"/>
          <w:color w:val="000000"/>
        </w:rPr>
        <w:t>20亿元；</w:t>
      </w:r>
    </w:p>
    <w:p w14:paraId="763EEF68" w14:textId="77777777" w:rsidR="00A2015D" w:rsidRDefault="00A2015D" w:rsidP="00A2015D">
      <w:pPr>
        <w:pStyle w:val="af5"/>
        <w:numPr>
          <w:ilvl w:val="0"/>
          <w:numId w:val="4"/>
        </w:numPr>
        <w:spacing w:before="120"/>
        <w:ind w:left="690" w:hanging="240"/>
        <w:rPr>
          <w:rFonts w:ascii="宋体" w:eastAsia="宋体" w:hAnsi="Times New Roman"/>
          <w:color w:val="000000"/>
        </w:rPr>
      </w:pPr>
      <w:r w:rsidRPr="00A2015D">
        <w:rPr>
          <w:rFonts w:ascii="宋体" w:eastAsia="宋体" w:hAnsi="Times New Roman" w:hint="eastAsia"/>
          <w:color w:val="000000"/>
        </w:rPr>
        <w:t>代表某信托公司，作为原告在与某网络科技公司的信托借款纠纷案胜诉，涉及标的</w:t>
      </w:r>
      <w:r w:rsidRPr="00A2015D">
        <w:rPr>
          <w:rFonts w:ascii="宋体" w:eastAsia="宋体" w:hAnsi="Times New Roman"/>
          <w:color w:val="000000"/>
        </w:rPr>
        <w:t>1.6亿元；</w:t>
      </w:r>
    </w:p>
    <w:p w14:paraId="07AFD920" w14:textId="77777777" w:rsidR="00A2015D" w:rsidRDefault="00A2015D" w:rsidP="00A2015D">
      <w:pPr>
        <w:pStyle w:val="af5"/>
        <w:numPr>
          <w:ilvl w:val="0"/>
          <w:numId w:val="5"/>
        </w:numPr>
        <w:spacing w:before="120"/>
        <w:ind w:left="690" w:hanging="240"/>
        <w:rPr>
          <w:rFonts w:ascii="宋体" w:eastAsia="宋体" w:hAnsi="Times New Roman"/>
          <w:color w:val="000000"/>
        </w:rPr>
      </w:pPr>
      <w:r w:rsidRPr="00A2015D">
        <w:rPr>
          <w:rFonts w:ascii="宋体" w:eastAsia="宋体" w:hAnsi="Times New Roman" w:hint="eastAsia"/>
          <w:color w:val="000000"/>
        </w:rPr>
        <w:t>代表中国惠普，在沈阳中院及辽宁高院处理一起融资租赁纠纷取得的胜诉；</w:t>
      </w:r>
    </w:p>
    <w:p w14:paraId="20F8E862" w14:textId="77777777" w:rsidR="00A2015D" w:rsidRDefault="00A2015D" w:rsidP="00A2015D">
      <w:pPr>
        <w:pStyle w:val="af5"/>
        <w:numPr>
          <w:ilvl w:val="0"/>
          <w:numId w:val="6"/>
        </w:numPr>
        <w:spacing w:before="120"/>
        <w:ind w:left="690" w:hanging="240"/>
        <w:rPr>
          <w:rFonts w:ascii="宋体" w:eastAsia="宋体" w:hAnsi="Times New Roman"/>
          <w:color w:val="000000"/>
        </w:rPr>
      </w:pPr>
      <w:r w:rsidRPr="00A2015D">
        <w:rPr>
          <w:rFonts w:ascii="宋体" w:eastAsia="宋体" w:hAnsi="Times New Roman" w:hint="eastAsia"/>
          <w:color w:val="000000"/>
        </w:rPr>
        <w:t>代表某基金公司，在中国国际经济贸易仲裁委员会处理与内蒙古某农业公司的一起委托贷款纠纷仲裁案胜诉，涉及标的近</w:t>
      </w:r>
      <w:r w:rsidRPr="00A2015D">
        <w:rPr>
          <w:rFonts w:ascii="宋体" w:eastAsia="宋体" w:hAnsi="Times New Roman"/>
          <w:color w:val="000000"/>
        </w:rPr>
        <w:t>3亿元；</w:t>
      </w:r>
    </w:p>
    <w:p w14:paraId="18F6E093" w14:textId="77777777" w:rsidR="00A2015D" w:rsidRDefault="00A2015D" w:rsidP="00A2015D">
      <w:pPr>
        <w:pStyle w:val="af5"/>
        <w:numPr>
          <w:ilvl w:val="0"/>
          <w:numId w:val="7"/>
        </w:numPr>
        <w:spacing w:before="120"/>
        <w:ind w:left="690" w:hanging="240"/>
        <w:rPr>
          <w:rFonts w:ascii="宋体" w:eastAsia="宋体" w:hAnsi="Times New Roman"/>
          <w:color w:val="000000"/>
        </w:rPr>
      </w:pPr>
      <w:r w:rsidRPr="00A2015D">
        <w:rPr>
          <w:rFonts w:ascii="宋体" w:eastAsia="宋体" w:hAnsi="Times New Roman" w:hint="eastAsia"/>
          <w:color w:val="000000"/>
        </w:rPr>
        <w:t>处理过涉及平安、人保、人寿、太平洋、阳光保险等众多保险公司的财产保险合同纠纷、人身保险合同纠纷、机动车强制保险合同纠纷、保险代理合同纠纷、保险经纪合同纠纷、保险费纠纷、保险人代位求偿权纠纷等案件；</w:t>
      </w:r>
    </w:p>
    <w:p w14:paraId="2DFF5440" w14:textId="77777777" w:rsidR="00A2015D" w:rsidRDefault="00A2015D" w:rsidP="00A2015D">
      <w:pPr>
        <w:pStyle w:val="af5"/>
        <w:numPr>
          <w:ilvl w:val="0"/>
          <w:numId w:val="8"/>
        </w:numPr>
        <w:spacing w:before="120"/>
        <w:ind w:left="690" w:hanging="240"/>
        <w:rPr>
          <w:rFonts w:ascii="宋体" w:eastAsia="宋体" w:hAnsi="Times New Roman"/>
          <w:color w:val="000000"/>
        </w:rPr>
      </w:pPr>
      <w:r w:rsidRPr="00A2015D">
        <w:rPr>
          <w:rFonts w:ascii="宋体" w:eastAsia="宋体" w:hAnsi="Times New Roman" w:hint="eastAsia"/>
          <w:color w:val="000000"/>
        </w:rPr>
        <w:t>房地产建设工程类案件：处理涉及中建、中铁建工、中核建集团、中国航空港建设、中关村开发建设、中国新兴建设、北京城建、江苏省建、南通三建等众多国内大型公司建设工程承发包、工程款、工程质量、工期等纠纷案件。</w:t>
      </w:r>
    </w:p>
    <w:p w14:paraId="4809EECA" w14:textId="77777777" w:rsidR="00A2015D" w:rsidRDefault="00A2015D" w:rsidP="00A2015D">
      <w:pPr>
        <w:pStyle w:val="af5"/>
        <w:spacing w:before="120"/>
        <w:rPr>
          <w:rFonts w:ascii="宋体" w:eastAsia="宋体" w:hAnsi="Times New Roman"/>
          <w:color w:val="000000"/>
        </w:rPr>
      </w:pPr>
      <w:r w:rsidRPr="00A2015D">
        <w:rPr>
          <w:rFonts w:ascii="宋体" w:eastAsia="宋体" w:hAnsi="Times New Roman" w:hint="eastAsia"/>
          <w:color w:val="000000"/>
        </w:rPr>
        <w:t>公司及股权类案件</w:t>
      </w:r>
    </w:p>
    <w:p w14:paraId="405314D3" w14:textId="77777777" w:rsidR="00A2015D" w:rsidRDefault="00A2015D" w:rsidP="00A2015D">
      <w:pPr>
        <w:pStyle w:val="af5"/>
        <w:numPr>
          <w:ilvl w:val="0"/>
          <w:numId w:val="9"/>
        </w:numPr>
        <w:spacing w:before="120"/>
        <w:ind w:left="690" w:hanging="240"/>
        <w:rPr>
          <w:rFonts w:ascii="宋体" w:eastAsia="宋体" w:hAnsi="Times New Roman"/>
          <w:color w:val="000000"/>
        </w:rPr>
      </w:pPr>
      <w:r w:rsidRPr="00A2015D">
        <w:rPr>
          <w:rFonts w:ascii="宋体" w:eastAsia="宋体" w:hAnsi="Times New Roman" w:hint="eastAsia"/>
          <w:color w:val="000000"/>
        </w:rPr>
        <w:t>代表某国际信托公司，处理公司决议无效及知情权诉讼；</w:t>
      </w:r>
    </w:p>
    <w:p w14:paraId="343E91F1" w14:textId="77777777" w:rsidR="00A2015D" w:rsidRDefault="00A2015D" w:rsidP="00A2015D">
      <w:pPr>
        <w:pStyle w:val="af5"/>
        <w:numPr>
          <w:ilvl w:val="0"/>
          <w:numId w:val="10"/>
        </w:numPr>
        <w:spacing w:before="120"/>
        <w:ind w:left="690" w:hanging="240"/>
        <w:rPr>
          <w:rFonts w:ascii="宋体" w:eastAsia="宋体" w:hAnsi="Times New Roman"/>
          <w:color w:val="000000"/>
        </w:rPr>
      </w:pPr>
      <w:r w:rsidRPr="00A2015D">
        <w:rPr>
          <w:rFonts w:ascii="宋体" w:eastAsia="宋体" w:hAnsi="Times New Roman" w:hint="eastAsia"/>
          <w:color w:val="000000"/>
        </w:rPr>
        <w:t>代表北京市某国有公司的香港上市公司，在与厦门某公司的股权收购与业绩对赌纠纷中，提供法律意见</w:t>
      </w:r>
    </w:p>
    <w:p w14:paraId="1241C0B3" w14:textId="77777777" w:rsidR="00A2015D" w:rsidRDefault="00A2015D" w:rsidP="00A2015D">
      <w:pPr>
        <w:pStyle w:val="af5"/>
        <w:numPr>
          <w:ilvl w:val="0"/>
          <w:numId w:val="11"/>
        </w:numPr>
        <w:spacing w:before="120"/>
        <w:ind w:left="690" w:hanging="240"/>
        <w:rPr>
          <w:rFonts w:ascii="宋体" w:eastAsia="宋体" w:hAnsi="Times New Roman"/>
          <w:color w:val="000000"/>
        </w:rPr>
      </w:pPr>
      <w:r w:rsidRPr="00A2015D">
        <w:rPr>
          <w:rFonts w:ascii="宋体" w:eastAsia="宋体" w:hAnsi="Times New Roman" w:hint="eastAsia"/>
          <w:color w:val="000000"/>
        </w:rPr>
        <w:t>处理多起涉及股权回购、差额补足等案件多件；</w:t>
      </w:r>
    </w:p>
    <w:p w14:paraId="75E83252" w14:textId="77777777" w:rsidR="00A2015D" w:rsidRDefault="00A2015D" w:rsidP="00A2015D">
      <w:pPr>
        <w:pStyle w:val="af5"/>
        <w:numPr>
          <w:ilvl w:val="0"/>
          <w:numId w:val="12"/>
        </w:numPr>
        <w:spacing w:before="120"/>
        <w:ind w:left="690" w:hanging="240"/>
        <w:rPr>
          <w:rFonts w:ascii="宋体" w:eastAsia="宋体" w:hAnsi="Times New Roman"/>
          <w:color w:val="000000"/>
        </w:rPr>
      </w:pPr>
      <w:r w:rsidRPr="00A2015D">
        <w:rPr>
          <w:rFonts w:ascii="宋体" w:eastAsia="宋体" w:hAnsi="Times New Roman" w:hint="eastAsia"/>
          <w:color w:val="000000"/>
        </w:rPr>
        <w:t>代表某国内领先的智能出行科技公司，在大连中院审理的一起股权收购的案件中胜诉；</w:t>
      </w:r>
    </w:p>
    <w:p w14:paraId="7CE877FD" w14:textId="77777777" w:rsidR="00A2015D" w:rsidRDefault="00A2015D" w:rsidP="00A2015D">
      <w:pPr>
        <w:pStyle w:val="af5"/>
        <w:numPr>
          <w:ilvl w:val="0"/>
          <w:numId w:val="13"/>
        </w:numPr>
        <w:spacing w:before="120"/>
        <w:ind w:left="690" w:hanging="240"/>
        <w:rPr>
          <w:rFonts w:ascii="宋体" w:eastAsia="宋体" w:hAnsi="Times New Roman"/>
          <w:color w:val="000000"/>
        </w:rPr>
      </w:pPr>
      <w:r w:rsidRPr="00A2015D">
        <w:rPr>
          <w:rFonts w:ascii="宋体" w:eastAsia="宋体" w:hAnsi="Times New Roman" w:hint="eastAsia"/>
          <w:color w:val="000000"/>
        </w:rPr>
        <w:t>代表某自然人，在济南中院审理的一起股权转让案件中取得胜诉；</w:t>
      </w:r>
    </w:p>
    <w:p w14:paraId="5017A981" w14:textId="77777777" w:rsidR="00A2015D" w:rsidRDefault="00A2015D" w:rsidP="00A2015D">
      <w:pPr>
        <w:pStyle w:val="af5"/>
        <w:numPr>
          <w:ilvl w:val="0"/>
          <w:numId w:val="14"/>
        </w:numPr>
        <w:spacing w:before="120"/>
        <w:ind w:left="690" w:hanging="240"/>
        <w:rPr>
          <w:rFonts w:ascii="宋体" w:eastAsia="宋体" w:hAnsi="Times New Roman"/>
          <w:color w:val="000000"/>
        </w:rPr>
      </w:pPr>
      <w:r w:rsidRPr="00A2015D">
        <w:rPr>
          <w:rFonts w:ascii="宋体" w:eastAsia="宋体" w:hAnsi="Times New Roman" w:hint="eastAsia"/>
          <w:color w:val="000000"/>
        </w:rPr>
        <w:t>代表一家境内公司，应对某保险公司在某仲裁机构针对其提起的差额补足合同纠纷案。</w:t>
      </w:r>
    </w:p>
    <w:p w14:paraId="4F720F98" w14:textId="77777777" w:rsidR="00A2015D" w:rsidRDefault="00A2015D" w:rsidP="00A2015D">
      <w:pPr>
        <w:pStyle w:val="af5"/>
        <w:spacing w:before="120"/>
        <w:rPr>
          <w:rFonts w:ascii="宋体" w:eastAsia="宋体" w:hAnsi="Times New Roman"/>
          <w:color w:val="000000"/>
        </w:rPr>
      </w:pPr>
      <w:r w:rsidRPr="00A2015D">
        <w:rPr>
          <w:rFonts w:ascii="宋体" w:eastAsia="宋体" w:hAnsi="Times New Roman" w:hint="eastAsia"/>
          <w:color w:val="000000"/>
        </w:rPr>
        <w:t>产品责任及侵权案件</w:t>
      </w:r>
    </w:p>
    <w:p w14:paraId="6BC0AF41" w14:textId="77777777" w:rsidR="00A2015D" w:rsidRDefault="00A2015D" w:rsidP="00A2015D">
      <w:pPr>
        <w:pStyle w:val="af5"/>
        <w:numPr>
          <w:ilvl w:val="0"/>
          <w:numId w:val="15"/>
        </w:numPr>
        <w:spacing w:before="120"/>
        <w:ind w:left="690" w:hanging="240"/>
        <w:rPr>
          <w:rFonts w:ascii="宋体" w:eastAsia="宋体" w:hAnsi="Times New Roman"/>
          <w:color w:val="000000"/>
        </w:rPr>
      </w:pPr>
      <w:r w:rsidRPr="00A2015D">
        <w:rPr>
          <w:rFonts w:ascii="宋体" w:eastAsia="宋体" w:hAnsi="Times New Roman" w:hint="eastAsia"/>
          <w:color w:val="000000"/>
        </w:rPr>
        <w:t>处理刘某与日本三菱汽车产品责任损害赔偿案，此案被列为最高人民法院《中国审判案例要揽》案例；</w:t>
      </w:r>
    </w:p>
    <w:p w14:paraId="2FE8C61B" w14:textId="77777777" w:rsidR="00A2015D" w:rsidRDefault="00A2015D" w:rsidP="00A2015D">
      <w:pPr>
        <w:pStyle w:val="af5"/>
        <w:numPr>
          <w:ilvl w:val="0"/>
          <w:numId w:val="16"/>
        </w:numPr>
        <w:spacing w:before="120"/>
        <w:ind w:left="690" w:hanging="240"/>
        <w:rPr>
          <w:rFonts w:ascii="宋体" w:eastAsia="宋体" w:hAnsi="Times New Roman"/>
          <w:color w:val="000000"/>
        </w:rPr>
      </w:pPr>
      <w:r w:rsidRPr="00A2015D">
        <w:rPr>
          <w:rFonts w:ascii="宋体" w:eastAsia="宋体" w:hAnsi="Times New Roman" w:hint="eastAsia"/>
          <w:color w:val="000000"/>
        </w:rPr>
        <w:t>处理荆其廉、张新荣等诉美国通用汽车公司等人身损害赔偿请示答复案，此案经最高法院审判委员会审议通过，形成了司法解释；</w:t>
      </w:r>
    </w:p>
    <w:p w14:paraId="2D9FCBBF" w14:textId="77777777" w:rsidR="00A2015D" w:rsidRDefault="00A2015D" w:rsidP="00A2015D">
      <w:pPr>
        <w:pStyle w:val="af5"/>
        <w:numPr>
          <w:ilvl w:val="0"/>
          <w:numId w:val="17"/>
        </w:numPr>
        <w:spacing w:before="120"/>
        <w:ind w:left="690" w:hanging="240"/>
        <w:rPr>
          <w:rFonts w:ascii="宋体" w:eastAsia="宋体" w:hAnsi="Times New Roman"/>
          <w:color w:val="000000"/>
        </w:rPr>
      </w:pPr>
      <w:r w:rsidRPr="00A2015D">
        <w:rPr>
          <w:rFonts w:ascii="宋体" w:eastAsia="宋体" w:hAnsi="Times New Roman" w:hint="eastAsia"/>
          <w:color w:val="000000"/>
        </w:rPr>
        <w:t>处理因汽车自燃、气囊缺陷、汽车制动故障等引起的消费者诉国内知名汽车公司的产品责任案件；</w:t>
      </w:r>
    </w:p>
    <w:p w14:paraId="67D444B3" w14:textId="77777777" w:rsidR="00A2015D" w:rsidRDefault="00A2015D" w:rsidP="00A2015D">
      <w:pPr>
        <w:pStyle w:val="af5"/>
        <w:numPr>
          <w:ilvl w:val="0"/>
          <w:numId w:val="18"/>
        </w:numPr>
        <w:spacing w:before="120"/>
        <w:ind w:left="690" w:hanging="240"/>
        <w:rPr>
          <w:rFonts w:ascii="宋体" w:eastAsia="宋体" w:hAnsi="Times New Roman"/>
          <w:color w:val="000000"/>
        </w:rPr>
      </w:pPr>
      <w:r w:rsidRPr="00A2015D">
        <w:rPr>
          <w:rFonts w:ascii="宋体" w:eastAsia="宋体" w:hAnsi="Times New Roman" w:hint="eastAsia"/>
          <w:color w:val="000000"/>
        </w:rPr>
        <w:t>参与处理消费者诉三星公司涉嫌手机频段虚假宣传惩罚性赔偿的群体性诉讼案件；</w:t>
      </w:r>
    </w:p>
    <w:p w14:paraId="50F86825" w14:textId="77777777" w:rsidR="00A2015D" w:rsidRDefault="00A2015D" w:rsidP="00A2015D">
      <w:pPr>
        <w:pStyle w:val="af5"/>
        <w:numPr>
          <w:ilvl w:val="0"/>
          <w:numId w:val="19"/>
        </w:numPr>
        <w:spacing w:before="120"/>
        <w:ind w:left="690" w:hanging="240"/>
        <w:rPr>
          <w:rFonts w:ascii="宋体" w:eastAsia="宋体" w:hAnsi="Times New Roman"/>
          <w:color w:val="000000"/>
        </w:rPr>
      </w:pPr>
      <w:r w:rsidRPr="00A2015D">
        <w:rPr>
          <w:rFonts w:ascii="宋体" w:eastAsia="宋体" w:hAnsi="Times New Roman" w:hint="eastAsia"/>
          <w:color w:val="000000"/>
        </w:rPr>
        <w:t>处理张学友与傲哥服饰公司肖像权纠纷；</w:t>
      </w:r>
    </w:p>
    <w:p w14:paraId="1EB0676B" w14:textId="77777777" w:rsidR="00A2015D" w:rsidRDefault="00A2015D" w:rsidP="00A2015D">
      <w:pPr>
        <w:pStyle w:val="af5"/>
        <w:numPr>
          <w:ilvl w:val="0"/>
          <w:numId w:val="20"/>
        </w:numPr>
        <w:spacing w:before="120"/>
        <w:ind w:left="690" w:hanging="240"/>
        <w:rPr>
          <w:rFonts w:ascii="宋体" w:eastAsia="宋体" w:hAnsi="Times New Roman"/>
          <w:color w:val="000000"/>
        </w:rPr>
      </w:pPr>
      <w:r w:rsidRPr="00A2015D">
        <w:rPr>
          <w:rFonts w:ascii="宋体" w:eastAsia="宋体" w:hAnsi="Times New Roman" w:hint="eastAsia"/>
          <w:color w:val="000000"/>
        </w:rPr>
        <w:t>处理国内某知名律师事务所之间名誉权纠纷一审案件；</w:t>
      </w:r>
    </w:p>
    <w:p w14:paraId="7BB97304" w14:textId="77777777" w:rsidR="00A2015D" w:rsidRDefault="00A2015D" w:rsidP="00A2015D">
      <w:pPr>
        <w:pStyle w:val="af5"/>
        <w:numPr>
          <w:ilvl w:val="0"/>
          <w:numId w:val="21"/>
        </w:numPr>
        <w:spacing w:before="120"/>
        <w:ind w:left="690" w:hanging="240"/>
        <w:rPr>
          <w:rFonts w:ascii="宋体" w:eastAsia="宋体" w:hAnsi="Times New Roman"/>
          <w:color w:val="000000"/>
        </w:rPr>
      </w:pPr>
      <w:r w:rsidRPr="00A2015D">
        <w:rPr>
          <w:rFonts w:ascii="宋体" w:eastAsia="宋体" w:hAnsi="Times New Roman" w:hint="eastAsia"/>
          <w:color w:val="000000"/>
        </w:rPr>
        <w:t>处理霍元甲的后代诉北京电影制片厂、杨步亭、李连杰等名誉权纠纷。</w:t>
      </w:r>
    </w:p>
    <w:p w14:paraId="45B81A99"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教育背景</w:t>
      </w:r>
    </w:p>
    <w:p w14:paraId="269A3AF5" w14:textId="77777777" w:rsidR="00A2015D" w:rsidRDefault="00A2015D" w:rsidP="00A2015D">
      <w:pPr>
        <w:pStyle w:val="af5"/>
        <w:numPr>
          <w:ilvl w:val="0"/>
          <w:numId w:val="22"/>
        </w:numPr>
        <w:spacing w:before="120"/>
        <w:ind w:left="690" w:hanging="240"/>
        <w:rPr>
          <w:rFonts w:ascii="宋体" w:eastAsia="宋体" w:hAnsi="Times New Roman"/>
          <w:color w:val="000000"/>
        </w:rPr>
      </w:pPr>
      <w:r w:rsidRPr="00A2015D">
        <w:rPr>
          <w:rFonts w:ascii="宋体" w:eastAsia="宋体" w:hAnsi="Times New Roman" w:hint="eastAsia"/>
          <w:color w:val="000000"/>
        </w:rPr>
        <w:t>中南财经政法大学，法学学士，</w:t>
      </w:r>
      <w:r w:rsidRPr="00A2015D">
        <w:rPr>
          <w:rFonts w:ascii="宋体" w:eastAsia="宋体" w:hAnsi="Times New Roman"/>
          <w:color w:val="000000"/>
        </w:rPr>
        <w:t>1996</w:t>
      </w:r>
    </w:p>
    <w:p w14:paraId="14C1260C" w14:textId="77777777" w:rsidR="00A2015D" w:rsidRDefault="00A2015D" w:rsidP="00A2015D">
      <w:pPr>
        <w:pStyle w:val="af5"/>
        <w:numPr>
          <w:ilvl w:val="0"/>
          <w:numId w:val="23"/>
        </w:numPr>
        <w:spacing w:before="120"/>
        <w:ind w:left="690" w:hanging="240"/>
        <w:rPr>
          <w:rFonts w:ascii="宋体" w:eastAsia="宋体" w:hAnsi="Times New Roman"/>
          <w:color w:val="000000"/>
        </w:rPr>
      </w:pPr>
      <w:r w:rsidRPr="00A2015D">
        <w:rPr>
          <w:rFonts w:ascii="宋体" w:eastAsia="宋体" w:hAnsi="Times New Roman" w:hint="eastAsia"/>
          <w:color w:val="000000"/>
        </w:rPr>
        <w:t>中国政法大学研究生院，民商法硕士学位，</w:t>
      </w:r>
      <w:r w:rsidRPr="00A2015D">
        <w:rPr>
          <w:rFonts w:ascii="宋体" w:eastAsia="宋体" w:hAnsi="Times New Roman"/>
          <w:color w:val="000000"/>
        </w:rPr>
        <w:t>1999</w:t>
      </w:r>
    </w:p>
    <w:p w14:paraId="0CB48603" w14:textId="77777777" w:rsidR="00A2015D" w:rsidRDefault="00A2015D" w:rsidP="00A2015D">
      <w:pPr>
        <w:pStyle w:val="af5"/>
        <w:numPr>
          <w:ilvl w:val="0"/>
          <w:numId w:val="24"/>
        </w:numPr>
        <w:spacing w:before="120"/>
        <w:ind w:left="690" w:hanging="240"/>
        <w:rPr>
          <w:rFonts w:ascii="宋体" w:eastAsia="宋体" w:hAnsi="Times New Roman"/>
          <w:color w:val="000000"/>
        </w:rPr>
      </w:pPr>
      <w:r w:rsidRPr="00A2015D">
        <w:rPr>
          <w:rFonts w:ascii="宋体" w:eastAsia="宋体" w:hAnsi="Times New Roman" w:hint="eastAsia"/>
          <w:color w:val="000000"/>
        </w:rPr>
        <w:t>北京大学法学院，民商法博士学位，</w:t>
      </w:r>
      <w:r w:rsidRPr="00A2015D">
        <w:rPr>
          <w:rFonts w:ascii="宋体" w:eastAsia="宋体" w:hAnsi="Times New Roman"/>
          <w:color w:val="000000"/>
        </w:rPr>
        <w:t>2005</w:t>
      </w:r>
    </w:p>
    <w:p w14:paraId="1FED63CA"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执业资格</w:t>
      </w:r>
    </w:p>
    <w:p w14:paraId="4331CFF6" w14:textId="77777777" w:rsidR="00A2015D" w:rsidRDefault="00A2015D" w:rsidP="00A2015D">
      <w:pPr>
        <w:pStyle w:val="af5"/>
        <w:numPr>
          <w:ilvl w:val="0"/>
          <w:numId w:val="25"/>
        </w:numPr>
        <w:spacing w:before="120"/>
        <w:ind w:left="690" w:hanging="240"/>
        <w:rPr>
          <w:rFonts w:ascii="宋体" w:eastAsia="宋体" w:hAnsi="Times New Roman"/>
          <w:color w:val="000000"/>
        </w:rPr>
      </w:pPr>
      <w:r w:rsidRPr="00A2015D">
        <w:rPr>
          <w:rFonts w:ascii="宋体" w:eastAsia="宋体" w:hAnsi="Times New Roman" w:hint="eastAsia"/>
          <w:color w:val="000000"/>
        </w:rPr>
        <w:t>中华人民共和国执业律师</w:t>
      </w:r>
    </w:p>
    <w:p w14:paraId="492DB7E8"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工作语言</w:t>
      </w:r>
    </w:p>
    <w:p w14:paraId="1146368F" w14:textId="77777777" w:rsidR="00A2015D" w:rsidRDefault="00A2015D" w:rsidP="00A2015D">
      <w:pPr>
        <w:pStyle w:val="af5"/>
        <w:numPr>
          <w:ilvl w:val="0"/>
          <w:numId w:val="26"/>
        </w:numPr>
        <w:spacing w:before="120"/>
        <w:ind w:left="690" w:hanging="240"/>
        <w:rPr>
          <w:rFonts w:ascii="宋体" w:eastAsia="宋体" w:hAnsi="Times New Roman"/>
          <w:color w:val="000000"/>
        </w:rPr>
      </w:pPr>
      <w:r w:rsidRPr="00A2015D">
        <w:rPr>
          <w:rFonts w:ascii="宋体" w:eastAsia="宋体" w:hAnsi="Times New Roman" w:hint="eastAsia"/>
          <w:color w:val="000000"/>
        </w:rPr>
        <w:t>中文</w:t>
      </w:r>
    </w:p>
    <w:p w14:paraId="226A740E" w14:textId="77777777" w:rsidR="00A2015D" w:rsidRDefault="00A2015D" w:rsidP="00A2015D">
      <w:pPr>
        <w:pStyle w:val="af5"/>
        <w:numPr>
          <w:ilvl w:val="0"/>
          <w:numId w:val="27"/>
        </w:numPr>
        <w:spacing w:before="120"/>
        <w:ind w:left="690" w:hanging="240"/>
        <w:rPr>
          <w:rFonts w:ascii="宋体" w:eastAsia="宋体" w:hAnsi="Times New Roman"/>
          <w:color w:val="000000"/>
        </w:rPr>
      </w:pPr>
      <w:r w:rsidRPr="00A2015D">
        <w:rPr>
          <w:rFonts w:ascii="宋体" w:eastAsia="宋体" w:hAnsi="Times New Roman" w:hint="eastAsia"/>
          <w:color w:val="000000"/>
        </w:rPr>
        <w:t>英文</w:t>
      </w:r>
    </w:p>
    <w:p w14:paraId="6340669D"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其他信息</w:t>
      </w:r>
    </w:p>
    <w:p w14:paraId="26B36113"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出版物</w:t>
      </w:r>
    </w:p>
    <w:p w14:paraId="2FC84F19" w14:textId="77777777" w:rsidR="00A2015D" w:rsidRDefault="00A2015D" w:rsidP="00A2015D">
      <w:pPr>
        <w:pStyle w:val="af5"/>
        <w:numPr>
          <w:ilvl w:val="0"/>
          <w:numId w:val="28"/>
        </w:numPr>
        <w:spacing w:before="120"/>
        <w:ind w:left="690" w:hanging="240"/>
        <w:rPr>
          <w:rFonts w:ascii="宋体" w:eastAsia="宋体" w:hAnsi="Times New Roman"/>
          <w:color w:val="000000"/>
        </w:rPr>
      </w:pPr>
      <w:r w:rsidRPr="00A2015D">
        <w:rPr>
          <w:rFonts w:ascii="宋体" w:eastAsia="宋体" w:hAnsi="Times New Roman"/>
          <w:color w:val="000000"/>
        </w:rPr>
        <w:t xml:space="preserve">《建设工程价款优先受偿权与保证的关系问题研究》、《建设工程优先权对已办理房屋产权过户登记的房屋是否享有追及力》、《建设工程优先权对于工程转让价款是否适用物上代位的问题研究》（合著），发表于《建设工程优先受偿权》，2017年法律出版社出版 </w:t>
      </w:r>
    </w:p>
    <w:p w14:paraId="0D0FA814" w14:textId="77777777" w:rsidR="00A2015D" w:rsidRDefault="00A2015D" w:rsidP="00A2015D">
      <w:pPr>
        <w:pStyle w:val="af5"/>
        <w:numPr>
          <w:ilvl w:val="0"/>
          <w:numId w:val="29"/>
        </w:numPr>
        <w:spacing w:before="120"/>
        <w:ind w:left="690" w:hanging="240"/>
        <w:rPr>
          <w:rFonts w:ascii="宋体" w:eastAsia="宋体" w:hAnsi="Times New Roman"/>
          <w:color w:val="000000"/>
        </w:rPr>
      </w:pPr>
      <w:r w:rsidRPr="00A2015D">
        <w:rPr>
          <w:rFonts w:ascii="宋体" w:eastAsia="宋体" w:hAnsi="Times New Roman"/>
          <w:color w:val="000000"/>
        </w:rPr>
        <w:t xml:space="preserve">《建设工程合同证据指引》，参编，2018年法律出版社出版 </w:t>
      </w:r>
    </w:p>
    <w:p w14:paraId="7F552C5A" w14:textId="77777777" w:rsidR="00A2015D" w:rsidRDefault="00A2015D" w:rsidP="00A2015D">
      <w:pPr>
        <w:pStyle w:val="af5"/>
        <w:numPr>
          <w:ilvl w:val="0"/>
          <w:numId w:val="30"/>
        </w:numPr>
        <w:spacing w:before="120"/>
        <w:ind w:left="690" w:hanging="240"/>
        <w:rPr>
          <w:rFonts w:ascii="宋体" w:eastAsia="宋体" w:hAnsi="Times New Roman"/>
          <w:color w:val="000000"/>
        </w:rPr>
      </w:pPr>
      <w:r w:rsidRPr="00A2015D">
        <w:rPr>
          <w:rFonts w:ascii="宋体" w:eastAsia="宋体" w:hAnsi="Times New Roman"/>
          <w:color w:val="000000"/>
        </w:rPr>
        <w:t>《中国不法行为法研究</w:t>
      </w:r>
      <w:r w:rsidRPr="00A2015D">
        <w:rPr>
          <w:rFonts w:ascii="宋体" w:eastAsia="宋体" w:hAnsi="Times New Roman"/>
          <w:color w:val="000000"/>
        </w:rPr>
        <w:t>—</w:t>
      </w:r>
      <w:r w:rsidRPr="00A2015D">
        <w:rPr>
          <w:rFonts w:ascii="宋体" w:eastAsia="宋体" w:hAnsi="Times New Roman"/>
          <w:color w:val="000000"/>
        </w:rPr>
        <w:t>以公平责任与补充责任为中心》（北京大学与日本早稻田大学</w:t>
      </w:r>
      <w:r w:rsidRPr="00A2015D">
        <w:rPr>
          <w:rFonts w:ascii="宋体" w:eastAsia="宋体" w:hAnsi="Times New Roman"/>
          <w:color w:val="000000"/>
        </w:rPr>
        <w:t>“</w:t>
      </w:r>
      <w:r w:rsidRPr="00A2015D">
        <w:rPr>
          <w:rFonts w:ascii="宋体" w:eastAsia="宋体" w:hAnsi="Times New Roman"/>
          <w:color w:val="000000"/>
        </w:rPr>
        <w:t>中日侵权法比较</w:t>
      </w:r>
      <w:r w:rsidRPr="00A2015D">
        <w:rPr>
          <w:rFonts w:ascii="宋体" w:eastAsia="宋体" w:hAnsi="Times New Roman"/>
          <w:color w:val="000000"/>
        </w:rPr>
        <w:t>”</w:t>
      </w:r>
      <w:r w:rsidRPr="00A2015D">
        <w:rPr>
          <w:rFonts w:ascii="宋体" w:eastAsia="宋体" w:hAnsi="Times New Roman"/>
          <w:color w:val="000000"/>
        </w:rPr>
        <w:t xml:space="preserve">课题，撰写部分篇章），文元春编著，日本成文堂出版社2019年6月出版 </w:t>
      </w:r>
    </w:p>
    <w:p w14:paraId="3F86EE20" w14:textId="77777777" w:rsidR="00A2015D" w:rsidRDefault="00A2015D" w:rsidP="00A2015D">
      <w:pPr>
        <w:pStyle w:val="af5"/>
        <w:numPr>
          <w:ilvl w:val="0"/>
          <w:numId w:val="31"/>
        </w:numPr>
        <w:spacing w:before="120"/>
        <w:ind w:left="690" w:hanging="240"/>
        <w:rPr>
          <w:rFonts w:ascii="宋体" w:eastAsia="宋体" w:hAnsi="Times New Roman"/>
          <w:color w:val="000000"/>
        </w:rPr>
      </w:pPr>
      <w:r w:rsidRPr="00A2015D">
        <w:rPr>
          <w:rFonts w:ascii="宋体" w:eastAsia="宋体" w:hAnsi="Times New Roman"/>
          <w:color w:val="000000"/>
        </w:rPr>
        <w:t xml:space="preserve">《一起典型的涉他合同案例研究》，《法律适用》2000年第4期 </w:t>
      </w:r>
    </w:p>
    <w:p w14:paraId="4788E416" w14:textId="77777777" w:rsidR="00A2015D" w:rsidRDefault="00A2015D" w:rsidP="00A2015D">
      <w:pPr>
        <w:pStyle w:val="af5"/>
        <w:numPr>
          <w:ilvl w:val="0"/>
          <w:numId w:val="32"/>
        </w:numPr>
        <w:spacing w:before="120"/>
        <w:ind w:left="690" w:hanging="240"/>
        <w:rPr>
          <w:rFonts w:ascii="宋体" w:eastAsia="宋体" w:hAnsi="Times New Roman"/>
          <w:color w:val="000000"/>
        </w:rPr>
      </w:pPr>
      <w:r w:rsidRPr="00A2015D">
        <w:rPr>
          <w:rFonts w:ascii="宋体" w:eastAsia="宋体" w:hAnsi="Times New Roman"/>
          <w:color w:val="000000"/>
        </w:rPr>
        <w:t xml:space="preserve">《信赖保护原则在民法体系中的作用》，《理论前沿》2005年第9期 </w:t>
      </w:r>
    </w:p>
    <w:p w14:paraId="63A872A8" w14:textId="77777777" w:rsidR="00A2015D" w:rsidRDefault="00A2015D" w:rsidP="00A2015D">
      <w:pPr>
        <w:pStyle w:val="af5"/>
        <w:numPr>
          <w:ilvl w:val="0"/>
          <w:numId w:val="33"/>
        </w:numPr>
        <w:spacing w:before="120"/>
        <w:ind w:left="690" w:hanging="240"/>
        <w:rPr>
          <w:rFonts w:ascii="宋体" w:eastAsia="宋体" w:hAnsi="Times New Roman"/>
          <w:color w:val="000000"/>
        </w:rPr>
      </w:pPr>
      <w:r w:rsidRPr="00A2015D">
        <w:rPr>
          <w:rFonts w:ascii="宋体" w:eastAsia="宋体" w:hAnsi="Times New Roman"/>
          <w:color w:val="000000"/>
        </w:rPr>
        <w:t xml:space="preserve">《审理涉及农村土地案件的若干理论与实践问题》，《北京审判》2005年 </w:t>
      </w:r>
    </w:p>
    <w:p w14:paraId="5694A153" w14:textId="77777777" w:rsidR="00A2015D" w:rsidRDefault="00A2015D" w:rsidP="00A2015D">
      <w:pPr>
        <w:pStyle w:val="af5"/>
        <w:numPr>
          <w:ilvl w:val="0"/>
          <w:numId w:val="34"/>
        </w:numPr>
        <w:spacing w:before="120"/>
        <w:ind w:left="690" w:hanging="240"/>
        <w:rPr>
          <w:rFonts w:ascii="宋体" w:eastAsia="宋体" w:hAnsi="Times New Roman"/>
          <w:color w:val="000000"/>
        </w:rPr>
      </w:pPr>
      <w:r w:rsidRPr="00A2015D">
        <w:rPr>
          <w:rFonts w:ascii="宋体" w:eastAsia="宋体" w:hAnsi="Times New Roman"/>
          <w:color w:val="000000"/>
        </w:rPr>
        <w:t xml:space="preserve">《不当得利纠纷的举证责任研究》，《审判前沿》2007年第2集 </w:t>
      </w:r>
    </w:p>
    <w:p w14:paraId="39CC2066" w14:textId="77777777" w:rsidR="00A2015D" w:rsidRDefault="00A2015D" w:rsidP="00A2015D">
      <w:pPr>
        <w:pStyle w:val="af5"/>
        <w:numPr>
          <w:ilvl w:val="0"/>
          <w:numId w:val="35"/>
        </w:numPr>
        <w:spacing w:before="120"/>
        <w:ind w:left="690" w:hanging="240"/>
        <w:rPr>
          <w:rFonts w:ascii="宋体" w:eastAsia="宋体" w:hAnsi="Times New Roman"/>
          <w:color w:val="000000"/>
        </w:rPr>
      </w:pPr>
      <w:r w:rsidRPr="00A2015D">
        <w:rPr>
          <w:rFonts w:ascii="宋体" w:eastAsia="宋体" w:hAnsi="Times New Roman"/>
          <w:color w:val="000000"/>
        </w:rPr>
        <w:t xml:space="preserve">《非给付型不当得利证明责任辨析》，《法学杂志》2010年5月 </w:t>
      </w:r>
    </w:p>
    <w:p w14:paraId="2F1D8A32" w14:textId="77777777" w:rsidR="00A2015D" w:rsidRDefault="00A2015D" w:rsidP="00A2015D">
      <w:pPr>
        <w:pStyle w:val="af5"/>
        <w:numPr>
          <w:ilvl w:val="0"/>
          <w:numId w:val="36"/>
        </w:numPr>
        <w:spacing w:before="120"/>
        <w:ind w:left="690" w:hanging="240"/>
        <w:rPr>
          <w:rFonts w:ascii="宋体" w:eastAsia="宋体" w:hAnsi="Times New Roman"/>
          <w:color w:val="000000"/>
        </w:rPr>
      </w:pPr>
      <w:r w:rsidRPr="00A2015D">
        <w:rPr>
          <w:rFonts w:ascii="宋体" w:eastAsia="宋体" w:hAnsi="Times New Roman"/>
          <w:color w:val="000000"/>
        </w:rPr>
        <w:t xml:space="preserve">《产品缺陷的证明责任辨析》，《人民司法案例》2008年第16期 </w:t>
      </w:r>
    </w:p>
    <w:p w14:paraId="1A801DDD" w14:textId="77777777" w:rsidR="00A2015D" w:rsidRDefault="00A2015D" w:rsidP="00A2015D">
      <w:pPr>
        <w:pStyle w:val="af5"/>
        <w:numPr>
          <w:ilvl w:val="0"/>
          <w:numId w:val="37"/>
        </w:numPr>
        <w:spacing w:before="120"/>
        <w:ind w:left="690" w:hanging="240"/>
        <w:rPr>
          <w:rFonts w:ascii="宋体" w:eastAsia="宋体" w:hAnsi="Times New Roman"/>
          <w:color w:val="000000"/>
        </w:rPr>
      </w:pPr>
      <w:r w:rsidRPr="00A2015D">
        <w:rPr>
          <w:rFonts w:ascii="宋体" w:eastAsia="宋体" w:hAnsi="Times New Roman"/>
          <w:color w:val="000000"/>
        </w:rPr>
        <w:t xml:space="preserve">《以民间历史人物为原型的文艺创作自由与名誉法益之保护》，《人民司法案例》2008年第6期 </w:t>
      </w:r>
    </w:p>
    <w:p w14:paraId="68E36C68" w14:textId="77777777" w:rsidR="00A2015D" w:rsidRDefault="00A2015D" w:rsidP="00A2015D">
      <w:pPr>
        <w:pStyle w:val="af5"/>
        <w:numPr>
          <w:ilvl w:val="0"/>
          <w:numId w:val="38"/>
        </w:numPr>
        <w:spacing w:before="120"/>
        <w:ind w:left="690" w:hanging="240"/>
        <w:rPr>
          <w:rFonts w:ascii="宋体" w:eastAsia="宋体" w:hAnsi="Times New Roman"/>
          <w:color w:val="000000"/>
        </w:rPr>
      </w:pPr>
      <w:r w:rsidRPr="00A2015D">
        <w:rPr>
          <w:rFonts w:ascii="宋体" w:eastAsia="宋体" w:hAnsi="Times New Roman"/>
          <w:color w:val="000000"/>
        </w:rPr>
        <w:t xml:space="preserve">《新闻报道使用匿名消息源是否构成侵权的认定》，合著，《人民司法案例》2016年10月第29期 </w:t>
      </w:r>
    </w:p>
    <w:p w14:paraId="5DC5849F" w14:textId="77777777" w:rsidR="00A2015D" w:rsidRDefault="00A2015D" w:rsidP="00A2015D">
      <w:pPr>
        <w:pStyle w:val="af5"/>
        <w:numPr>
          <w:ilvl w:val="0"/>
          <w:numId w:val="39"/>
        </w:numPr>
        <w:spacing w:before="120"/>
        <w:ind w:left="690" w:hanging="240"/>
        <w:rPr>
          <w:rFonts w:ascii="宋体" w:eastAsia="宋体" w:hAnsi="Times New Roman"/>
          <w:color w:val="000000"/>
        </w:rPr>
      </w:pPr>
      <w:r w:rsidRPr="00A2015D">
        <w:rPr>
          <w:rFonts w:ascii="宋体" w:eastAsia="宋体" w:hAnsi="Times New Roman"/>
          <w:color w:val="000000"/>
        </w:rPr>
        <w:t xml:space="preserve">《物业管理纠纷在审判实践中的问题及对策--以物业管理条例适用为重点》，发表于《中国物业管理》2010年3月 </w:t>
      </w:r>
    </w:p>
    <w:p w14:paraId="1D37C13A" w14:textId="77777777" w:rsidR="00A2015D" w:rsidRDefault="00A2015D" w:rsidP="00A2015D">
      <w:pPr>
        <w:pStyle w:val="af5"/>
        <w:numPr>
          <w:ilvl w:val="0"/>
          <w:numId w:val="40"/>
        </w:numPr>
        <w:spacing w:before="120"/>
        <w:ind w:left="690" w:hanging="240"/>
        <w:rPr>
          <w:rFonts w:ascii="宋体" w:eastAsia="宋体" w:hAnsi="Times New Roman"/>
          <w:color w:val="000000"/>
        </w:rPr>
      </w:pPr>
      <w:r w:rsidRPr="00A2015D">
        <w:rPr>
          <w:rFonts w:ascii="宋体" w:eastAsia="宋体" w:hAnsi="Times New Roman"/>
          <w:color w:val="000000"/>
        </w:rPr>
        <w:t xml:space="preserve">《产品责任前沿问题审判实务》（第一作者，合著），中国法制出版社2014年出版 </w:t>
      </w:r>
    </w:p>
    <w:p w14:paraId="3E9522F6" w14:textId="77777777" w:rsidR="00A2015D" w:rsidRDefault="00A2015D" w:rsidP="00A2015D">
      <w:pPr>
        <w:pStyle w:val="af5"/>
        <w:numPr>
          <w:ilvl w:val="0"/>
          <w:numId w:val="41"/>
        </w:numPr>
        <w:spacing w:before="120"/>
        <w:ind w:left="690" w:hanging="240"/>
        <w:rPr>
          <w:rFonts w:ascii="宋体" w:eastAsia="宋体" w:hAnsi="Times New Roman"/>
          <w:color w:val="000000"/>
        </w:rPr>
      </w:pPr>
      <w:r w:rsidRPr="00A2015D">
        <w:rPr>
          <w:rFonts w:ascii="宋体" w:eastAsia="宋体" w:hAnsi="Times New Roman"/>
          <w:color w:val="000000"/>
        </w:rPr>
        <w:t xml:space="preserve">《北京市法院疑难民事案件精析》（一、二、三册），法律出版社，2003、2007年，编辑 </w:t>
      </w:r>
    </w:p>
    <w:p w14:paraId="7E7B2199" w14:textId="77777777" w:rsidR="00A2015D" w:rsidRDefault="00A2015D" w:rsidP="00A2015D">
      <w:pPr>
        <w:pStyle w:val="af5"/>
        <w:numPr>
          <w:ilvl w:val="0"/>
          <w:numId w:val="42"/>
        </w:numPr>
        <w:spacing w:before="120"/>
        <w:ind w:left="690" w:hanging="240"/>
        <w:rPr>
          <w:rFonts w:ascii="宋体" w:eastAsia="宋体" w:hAnsi="Times New Roman"/>
          <w:color w:val="000000"/>
        </w:rPr>
      </w:pPr>
      <w:r w:rsidRPr="00A2015D">
        <w:rPr>
          <w:rFonts w:ascii="宋体" w:eastAsia="宋体" w:hAnsi="Times New Roman"/>
          <w:color w:val="000000"/>
        </w:rPr>
        <w:t>北京市哲学社会科学课题</w:t>
      </w:r>
      <w:r w:rsidRPr="00A2015D">
        <w:rPr>
          <w:rFonts w:ascii="宋体" w:eastAsia="宋体" w:hAnsi="Times New Roman"/>
          <w:color w:val="000000"/>
        </w:rPr>
        <w:t>“</w:t>
      </w:r>
      <w:r w:rsidRPr="00A2015D">
        <w:rPr>
          <w:rFonts w:ascii="宋体" w:eastAsia="宋体" w:hAnsi="Times New Roman"/>
          <w:color w:val="000000"/>
        </w:rPr>
        <w:t>社会信用的司法保护</w:t>
      </w:r>
      <w:r w:rsidRPr="00A2015D">
        <w:rPr>
          <w:rFonts w:ascii="宋体" w:eastAsia="宋体" w:hAnsi="Times New Roman"/>
          <w:color w:val="000000"/>
        </w:rPr>
        <w:t>”——</w:t>
      </w:r>
      <w:r w:rsidRPr="00A2015D">
        <w:rPr>
          <w:rFonts w:ascii="宋体" w:eastAsia="宋体" w:hAnsi="Times New Roman"/>
          <w:color w:val="000000"/>
        </w:rPr>
        <w:t>《社会信任的现状及其对策</w:t>
      </w:r>
      <w:r w:rsidRPr="00A2015D">
        <w:rPr>
          <w:rFonts w:ascii="宋体" w:eastAsia="宋体" w:hAnsi="Times New Roman"/>
          <w:color w:val="000000"/>
        </w:rPr>
        <w:t>——</w:t>
      </w:r>
      <w:r w:rsidRPr="00A2015D">
        <w:rPr>
          <w:rFonts w:ascii="宋体" w:eastAsia="宋体" w:hAnsi="Times New Roman"/>
          <w:color w:val="000000"/>
        </w:rPr>
        <w:t xml:space="preserve">以民事司法的视角》 </w:t>
      </w:r>
    </w:p>
    <w:p w14:paraId="553EB53E"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获奖情况</w:t>
      </w:r>
    </w:p>
    <w:p w14:paraId="3CFE7104" w14:textId="77777777" w:rsidR="00A2015D" w:rsidRDefault="00A2015D" w:rsidP="00A2015D">
      <w:pPr>
        <w:pStyle w:val="af5"/>
        <w:numPr>
          <w:ilvl w:val="0"/>
          <w:numId w:val="43"/>
        </w:numPr>
        <w:spacing w:before="120"/>
        <w:ind w:left="690" w:hanging="240"/>
        <w:rPr>
          <w:rFonts w:ascii="宋体" w:eastAsia="宋体" w:hAnsi="Times New Roman"/>
          <w:color w:val="000000"/>
        </w:rPr>
      </w:pPr>
      <w:r w:rsidRPr="00A2015D">
        <w:rPr>
          <w:rFonts w:ascii="宋体" w:eastAsia="宋体" w:hAnsi="Times New Roman"/>
          <w:color w:val="000000"/>
        </w:rPr>
        <w:t>北京市法院首届</w:t>
      </w:r>
      <w:r w:rsidRPr="00A2015D">
        <w:rPr>
          <w:rFonts w:ascii="宋体" w:eastAsia="宋体" w:hAnsi="Times New Roman"/>
          <w:color w:val="000000"/>
        </w:rPr>
        <w:t>“</w:t>
      </w:r>
      <w:r w:rsidRPr="00A2015D">
        <w:rPr>
          <w:rFonts w:ascii="宋体" w:eastAsia="宋体" w:hAnsi="Times New Roman"/>
          <w:color w:val="000000"/>
        </w:rPr>
        <w:t>审判业务专家</w:t>
      </w:r>
      <w:r w:rsidRPr="00A2015D">
        <w:rPr>
          <w:rFonts w:ascii="宋体" w:eastAsia="宋体" w:hAnsi="Times New Roman"/>
          <w:color w:val="000000"/>
        </w:rPr>
        <w:t>”</w:t>
      </w:r>
      <w:r w:rsidRPr="00A2015D">
        <w:rPr>
          <w:rFonts w:ascii="宋体" w:eastAsia="宋体" w:hAnsi="Times New Roman"/>
          <w:color w:val="000000"/>
        </w:rPr>
        <w:t>称号；</w:t>
      </w:r>
      <w:r w:rsidRPr="00A2015D">
        <w:rPr>
          <w:rFonts w:ascii="宋体" w:eastAsia="宋体" w:hAnsi="Times New Roman"/>
          <w:color w:val="000000"/>
        </w:rPr>
        <w:t>“</w:t>
      </w:r>
      <w:r w:rsidRPr="00A2015D">
        <w:rPr>
          <w:rFonts w:ascii="宋体" w:eastAsia="宋体" w:hAnsi="Times New Roman"/>
          <w:color w:val="000000"/>
        </w:rPr>
        <w:t>十百千人才</w:t>
      </w:r>
      <w:r w:rsidRPr="00A2015D">
        <w:rPr>
          <w:rFonts w:ascii="宋体" w:eastAsia="宋体" w:hAnsi="Times New Roman"/>
          <w:color w:val="000000"/>
        </w:rPr>
        <w:t>”</w:t>
      </w:r>
      <w:r w:rsidRPr="00A2015D">
        <w:rPr>
          <w:rFonts w:ascii="宋体" w:eastAsia="宋体" w:hAnsi="Times New Roman"/>
          <w:color w:val="000000"/>
        </w:rPr>
        <w:t xml:space="preserve"> </w:t>
      </w:r>
    </w:p>
    <w:p w14:paraId="543B1F34" w14:textId="77777777" w:rsidR="00A2015D" w:rsidRDefault="00A2015D" w:rsidP="00A2015D">
      <w:pPr>
        <w:pStyle w:val="af5"/>
        <w:numPr>
          <w:ilvl w:val="0"/>
          <w:numId w:val="44"/>
        </w:numPr>
        <w:spacing w:before="120"/>
        <w:ind w:left="690" w:hanging="240"/>
        <w:rPr>
          <w:rFonts w:ascii="宋体" w:eastAsia="宋体" w:hAnsi="Times New Roman"/>
          <w:color w:val="000000"/>
        </w:rPr>
      </w:pPr>
      <w:r w:rsidRPr="00A2015D">
        <w:rPr>
          <w:rFonts w:ascii="宋体" w:eastAsia="宋体" w:hAnsi="Times New Roman"/>
          <w:color w:val="000000"/>
        </w:rPr>
        <w:t>北京市律师协会</w:t>
      </w:r>
      <w:r w:rsidRPr="00A2015D">
        <w:rPr>
          <w:rFonts w:ascii="宋体" w:eastAsia="宋体" w:hAnsi="Times New Roman"/>
          <w:color w:val="000000"/>
        </w:rPr>
        <w:t>“</w:t>
      </w:r>
      <w:r w:rsidRPr="00A2015D">
        <w:rPr>
          <w:rFonts w:ascii="宋体" w:eastAsia="宋体" w:hAnsi="Times New Roman"/>
          <w:color w:val="000000"/>
        </w:rPr>
        <w:t>重大疑难业务研究专家组专家</w:t>
      </w:r>
      <w:r w:rsidRPr="00A2015D">
        <w:rPr>
          <w:rFonts w:ascii="宋体" w:eastAsia="宋体" w:hAnsi="Times New Roman"/>
          <w:color w:val="000000"/>
        </w:rPr>
        <w:t>”</w:t>
      </w:r>
      <w:r w:rsidRPr="00A2015D">
        <w:rPr>
          <w:rFonts w:ascii="宋体" w:eastAsia="宋体" w:hAnsi="Times New Roman"/>
          <w:color w:val="000000"/>
        </w:rPr>
        <w:t xml:space="preserve"> </w:t>
      </w:r>
    </w:p>
    <w:p w14:paraId="08BE3A19" w14:textId="77777777" w:rsidR="00A2015D" w:rsidRDefault="00A2015D" w:rsidP="00A2015D">
      <w:pPr>
        <w:pStyle w:val="af5"/>
        <w:spacing w:after="0" w:line="480" w:lineRule="auto"/>
        <w:rPr>
          <w:rFonts w:ascii="宋体" w:eastAsia="宋体" w:hAnsi="宋体"/>
          <w:b/>
          <w:sz w:val="24"/>
        </w:rPr>
      </w:pPr>
      <w:r w:rsidRPr="00A2015D">
        <w:rPr>
          <w:rFonts w:ascii="宋体" w:eastAsia="宋体" w:hAnsi="宋体" w:hint="eastAsia"/>
          <w:b/>
          <w:sz w:val="24"/>
        </w:rPr>
        <w:t>其他履职</w:t>
      </w:r>
    </w:p>
    <w:p w14:paraId="02ABB273" w14:textId="77777777" w:rsidR="00A2015D" w:rsidRDefault="00A2015D" w:rsidP="00A2015D">
      <w:pPr>
        <w:pStyle w:val="af5"/>
        <w:numPr>
          <w:ilvl w:val="0"/>
          <w:numId w:val="45"/>
        </w:numPr>
        <w:spacing w:before="120"/>
        <w:ind w:left="690" w:hanging="240"/>
        <w:rPr>
          <w:rFonts w:ascii="宋体" w:eastAsia="宋体" w:hAnsi="Times New Roman"/>
          <w:color w:val="000000"/>
        </w:rPr>
      </w:pPr>
      <w:r w:rsidRPr="00A2015D">
        <w:rPr>
          <w:rFonts w:ascii="宋体" w:eastAsia="宋体" w:hAnsi="Times New Roman"/>
          <w:color w:val="000000"/>
        </w:rPr>
        <w:t xml:space="preserve">中国国际经济贸易仲裁委员会，仲裁员 </w:t>
      </w:r>
    </w:p>
    <w:p w14:paraId="4942A7EF" w14:textId="77777777" w:rsidR="00A2015D" w:rsidRDefault="00A2015D" w:rsidP="00A2015D">
      <w:pPr>
        <w:pStyle w:val="af5"/>
        <w:numPr>
          <w:ilvl w:val="0"/>
          <w:numId w:val="46"/>
        </w:numPr>
        <w:spacing w:before="120"/>
        <w:ind w:left="690" w:hanging="240"/>
        <w:rPr>
          <w:rFonts w:ascii="宋体" w:eastAsia="宋体" w:hAnsi="Times New Roman"/>
          <w:color w:val="000000"/>
        </w:rPr>
      </w:pPr>
      <w:r w:rsidRPr="00A2015D">
        <w:rPr>
          <w:rFonts w:ascii="宋体" w:eastAsia="宋体" w:hAnsi="Times New Roman"/>
          <w:color w:val="000000"/>
        </w:rPr>
        <w:t xml:space="preserve">北京仲裁委/北京国际仲裁中心，仲裁员 </w:t>
      </w:r>
    </w:p>
    <w:p w14:paraId="67925577" w14:textId="77777777" w:rsidR="00A2015D" w:rsidRDefault="00A2015D" w:rsidP="00A2015D">
      <w:pPr>
        <w:pStyle w:val="af5"/>
        <w:numPr>
          <w:ilvl w:val="0"/>
          <w:numId w:val="47"/>
        </w:numPr>
        <w:spacing w:before="120"/>
        <w:ind w:left="690" w:hanging="240"/>
        <w:rPr>
          <w:rFonts w:ascii="宋体" w:eastAsia="宋体" w:hAnsi="Times New Roman"/>
          <w:color w:val="000000"/>
        </w:rPr>
      </w:pPr>
      <w:r w:rsidRPr="00A2015D">
        <w:rPr>
          <w:rFonts w:ascii="宋体" w:eastAsia="宋体" w:hAnsi="Times New Roman"/>
          <w:color w:val="000000"/>
        </w:rPr>
        <w:t xml:space="preserve">深圳国际仲裁院/深圳仲裁委员会，仲裁员 </w:t>
      </w:r>
    </w:p>
    <w:p w14:paraId="47A6B1A5" w14:textId="77777777" w:rsidR="00A2015D" w:rsidRDefault="00A2015D" w:rsidP="00A2015D">
      <w:pPr>
        <w:pStyle w:val="af5"/>
        <w:numPr>
          <w:ilvl w:val="0"/>
          <w:numId w:val="48"/>
        </w:numPr>
        <w:spacing w:before="120"/>
        <w:ind w:left="690" w:hanging="240"/>
        <w:rPr>
          <w:rFonts w:ascii="宋体" w:eastAsia="宋体" w:hAnsi="Times New Roman"/>
          <w:color w:val="000000"/>
        </w:rPr>
      </w:pPr>
      <w:r w:rsidRPr="00A2015D">
        <w:rPr>
          <w:rFonts w:ascii="宋体" w:eastAsia="宋体" w:hAnsi="Times New Roman"/>
          <w:color w:val="000000"/>
        </w:rPr>
        <w:t xml:space="preserve">天津仲裁委，仲裁员 </w:t>
      </w:r>
    </w:p>
    <w:p w14:paraId="2E17FE48" w14:textId="77777777" w:rsidR="00A2015D" w:rsidRDefault="00A2015D" w:rsidP="00A2015D">
      <w:pPr>
        <w:pStyle w:val="af5"/>
        <w:numPr>
          <w:ilvl w:val="0"/>
          <w:numId w:val="49"/>
        </w:numPr>
        <w:spacing w:before="120"/>
        <w:ind w:left="690" w:hanging="240"/>
        <w:rPr>
          <w:rFonts w:ascii="宋体" w:eastAsia="宋体" w:hAnsi="Times New Roman"/>
          <w:color w:val="000000"/>
        </w:rPr>
      </w:pPr>
      <w:r w:rsidRPr="00A2015D">
        <w:rPr>
          <w:rFonts w:ascii="宋体" w:eastAsia="宋体" w:hAnsi="Times New Roman"/>
          <w:color w:val="000000"/>
        </w:rPr>
        <w:t xml:space="preserve">南京仲裁委，仲裁员 </w:t>
      </w:r>
    </w:p>
    <w:p w14:paraId="7114318C" w14:textId="77777777" w:rsidR="00A2015D" w:rsidRDefault="00A2015D" w:rsidP="00A2015D">
      <w:pPr>
        <w:pStyle w:val="af5"/>
        <w:numPr>
          <w:ilvl w:val="0"/>
          <w:numId w:val="50"/>
        </w:numPr>
        <w:spacing w:before="120"/>
        <w:ind w:left="690" w:hanging="240"/>
        <w:rPr>
          <w:rFonts w:ascii="宋体" w:eastAsia="宋体" w:hAnsi="Times New Roman"/>
          <w:color w:val="000000"/>
        </w:rPr>
      </w:pPr>
      <w:r w:rsidRPr="00A2015D">
        <w:rPr>
          <w:rFonts w:ascii="宋体" w:eastAsia="宋体" w:hAnsi="Times New Roman"/>
          <w:color w:val="000000"/>
        </w:rPr>
        <w:t xml:space="preserve">石家庄仲裁委，仲裁员 </w:t>
      </w:r>
    </w:p>
    <w:p w14:paraId="6CCAB32B" w14:textId="77777777" w:rsidR="00A2015D" w:rsidRDefault="00A2015D" w:rsidP="00A2015D">
      <w:pPr>
        <w:pStyle w:val="af5"/>
        <w:numPr>
          <w:ilvl w:val="0"/>
          <w:numId w:val="51"/>
        </w:numPr>
        <w:spacing w:before="120"/>
        <w:ind w:left="690" w:hanging="240"/>
        <w:rPr>
          <w:rFonts w:ascii="宋体" w:eastAsia="宋体" w:hAnsi="Times New Roman"/>
          <w:color w:val="000000"/>
        </w:rPr>
      </w:pPr>
      <w:r w:rsidRPr="00A2015D">
        <w:rPr>
          <w:rFonts w:ascii="宋体" w:eastAsia="宋体" w:hAnsi="Times New Roman"/>
          <w:color w:val="000000"/>
        </w:rPr>
        <w:t xml:space="preserve">马鞍山仲裁委，仲裁员 </w:t>
      </w:r>
    </w:p>
    <w:p w14:paraId="58D119EF" w14:textId="77777777" w:rsidR="00A2015D" w:rsidRDefault="00A2015D" w:rsidP="00A2015D">
      <w:pPr>
        <w:pStyle w:val="af5"/>
        <w:numPr>
          <w:ilvl w:val="0"/>
          <w:numId w:val="52"/>
        </w:numPr>
        <w:spacing w:before="120"/>
        <w:ind w:left="690" w:hanging="240"/>
        <w:rPr>
          <w:rFonts w:ascii="宋体" w:eastAsia="宋体" w:hAnsi="Times New Roman"/>
          <w:color w:val="000000"/>
        </w:rPr>
      </w:pPr>
      <w:r w:rsidRPr="00A2015D">
        <w:rPr>
          <w:rFonts w:ascii="宋体" w:eastAsia="宋体" w:hAnsi="Times New Roman"/>
          <w:color w:val="000000"/>
        </w:rPr>
        <w:t xml:space="preserve">北京大学、对外经贸大学、中国政法大学、中国师范大学、中国社科院大学硕士生导师 </w:t>
      </w:r>
    </w:p>
    <w:p w14:paraId="4F0A196B" w14:textId="7AF908AA" w:rsidR="00A46A04" w:rsidRPr="00A2015D" w:rsidRDefault="00A2015D" w:rsidP="00A2015D">
      <w:pPr>
        <w:pStyle w:val="af5"/>
        <w:numPr>
          <w:ilvl w:val="0"/>
          <w:numId w:val="53"/>
        </w:numPr>
        <w:spacing w:before="120"/>
        <w:ind w:left="690" w:hanging="240"/>
        <w:rPr>
          <w:rFonts w:ascii="宋体" w:eastAsia="宋体" w:hAnsi="Times New Roman"/>
          <w:color w:val="000000"/>
        </w:rPr>
      </w:pPr>
      <w:r w:rsidRPr="00A2015D">
        <w:rPr>
          <w:rFonts w:ascii="宋体" w:eastAsia="宋体" w:hAnsi="Times New Roman"/>
          <w:color w:val="000000"/>
        </w:rPr>
        <w:t xml:space="preserve">北京航空航天大学建设工程法律与金融研究中心研究员 </w:t>
      </w:r>
    </w:p>
    <w:sectPr w:rsidR="00A46A04" w:rsidRPr="00A201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922"/>
    <w:multiLevelType w:val="singleLevel"/>
    <w:tmpl w:val="7ED05F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64E96"/>
    <w:multiLevelType w:val="singleLevel"/>
    <w:tmpl w:val="AE5EC4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A3024"/>
    <w:multiLevelType w:val="singleLevel"/>
    <w:tmpl w:val="AE36D5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34FB8"/>
    <w:multiLevelType w:val="singleLevel"/>
    <w:tmpl w:val="D254A1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E97FC7"/>
    <w:multiLevelType w:val="singleLevel"/>
    <w:tmpl w:val="45B456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57435C"/>
    <w:multiLevelType w:val="singleLevel"/>
    <w:tmpl w:val="A50A1F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137ABF"/>
    <w:multiLevelType w:val="singleLevel"/>
    <w:tmpl w:val="5E3808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3A15A6"/>
    <w:multiLevelType w:val="singleLevel"/>
    <w:tmpl w:val="0D6AE3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1C3FDB"/>
    <w:multiLevelType w:val="singleLevel"/>
    <w:tmpl w:val="30B05C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EF7E44"/>
    <w:multiLevelType w:val="singleLevel"/>
    <w:tmpl w:val="B3D0D0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3E68D1"/>
    <w:multiLevelType w:val="singleLevel"/>
    <w:tmpl w:val="11960A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A845D9"/>
    <w:multiLevelType w:val="singleLevel"/>
    <w:tmpl w:val="6888B3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AF196D"/>
    <w:multiLevelType w:val="singleLevel"/>
    <w:tmpl w:val="6292E1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DD037E"/>
    <w:multiLevelType w:val="singleLevel"/>
    <w:tmpl w:val="9500A8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EB0365"/>
    <w:multiLevelType w:val="singleLevel"/>
    <w:tmpl w:val="079E7F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D9007A"/>
    <w:multiLevelType w:val="singleLevel"/>
    <w:tmpl w:val="EB2217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E01AFE"/>
    <w:multiLevelType w:val="singleLevel"/>
    <w:tmpl w:val="835610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43094B"/>
    <w:multiLevelType w:val="singleLevel"/>
    <w:tmpl w:val="80A6E43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605FC9"/>
    <w:multiLevelType w:val="singleLevel"/>
    <w:tmpl w:val="3E5EF2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DB0F4A"/>
    <w:multiLevelType w:val="singleLevel"/>
    <w:tmpl w:val="2092FF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262D56"/>
    <w:multiLevelType w:val="singleLevel"/>
    <w:tmpl w:val="A3A6B2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70BE9"/>
    <w:multiLevelType w:val="singleLevel"/>
    <w:tmpl w:val="556C6C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AF3AD6"/>
    <w:multiLevelType w:val="singleLevel"/>
    <w:tmpl w:val="C25E17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172092"/>
    <w:multiLevelType w:val="singleLevel"/>
    <w:tmpl w:val="0F4879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E91702"/>
    <w:multiLevelType w:val="singleLevel"/>
    <w:tmpl w:val="60D8AC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FA2A66"/>
    <w:multiLevelType w:val="singleLevel"/>
    <w:tmpl w:val="2AF42E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111B39"/>
    <w:multiLevelType w:val="singleLevel"/>
    <w:tmpl w:val="669012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EC6B50"/>
    <w:multiLevelType w:val="singleLevel"/>
    <w:tmpl w:val="F1CCA2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5060E5"/>
    <w:multiLevelType w:val="singleLevel"/>
    <w:tmpl w:val="F94698C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E72B33"/>
    <w:multiLevelType w:val="singleLevel"/>
    <w:tmpl w:val="639A8A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FE2435"/>
    <w:multiLevelType w:val="singleLevel"/>
    <w:tmpl w:val="0464C6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6200F0"/>
    <w:multiLevelType w:val="singleLevel"/>
    <w:tmpl w:val="7D9A18C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CB2FF7"/>
    <w:multiLevelType w:val="singleLevel"/>
    <w:tmpl w:val="8BF83B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D222E6"/>
    <w:multiLevelType w:val="singleLevel"/>
    <w:tmpl w:val="4704EE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606156"/>
    <w:multiLevelType w:val="singleLevel"/>
    <w:tmpl w:val="BE0E95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1C72E0"/>
    <w:multiLevelType w:val="singleLevel"/>
    <w:tmpl w:val="2EE683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E90B66"/>
    <w:multiLevelType w:val="singleLevel"/>
    <w:tmpl w:val="69F65A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6A01BC"/>
    <w:multiLevelType w:val="singleLevel"/>
    <w:tmpl w:val="3B4C1D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84015B"/>
    <w:multiLevelType w:val="singleLevel"/>
    <w:tmpl w:val="BEE4E3F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A85B56"/>
    <w:multiLevelType w:val="singleLevel"/>
    <w:tmpl w:val="1D28EA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95361E"/>
    <w:multiLevelType w:val="singleLevel"/>
    <w:tmpl w:val="485EAA2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1B510B"/>
    <w:multiLevelType w:val="singleLevel"/>
    <w:tmpl w:val="EFCC1A0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46345D"/>
    <w:multiLevelType w:val="singleLevel"/>
    <w:tmpl w:val="4470E78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750D5A"/>
    <w:multiLevelType w:val="singleLevel"/>
    <w:tmpl w:val="7CD45BA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70F7F9E"/>
    <w:multiLevelType w:val="singleLevel"/>
    <w:tmpl w:val="76424D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31737B"/>
    <w:multiLevelType w:val="singleLevel"/>
    <w:tmpl w:val="759675D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F531CFB"/>
    <w:multiLevelType w:val="singleLevel"/>
    <w:tmpl w:val="7D9A18C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4F33E1"/>
    <w:multiLevelType w:val="singleLevel"/>
    <w:tmpl w:val="179AD57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8E141E"/>
    <w:multiLevelType w:val="singleLevel"/>
    <w:tmpl w:val="AE9E8BF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E1267B"/>
    <w:multiLevelType w:val="singleLevel"/>
    <w:tmpl w:val="16B69E9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020EA1"/>
    <w:multiLevelType w:val="singleLevel"/>
    <w:tmpl w:val="84B816D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762340A"/>
    <w:multiLevelType w:val="singleLevel"/>
    <w:tmpl w:val="67B88A6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CF0CDE"/>
    <w:multiLevelType w:val="singleLevel"/>
    <w:tmpl w:val="74E88A0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29"/>
  </w:num>
  <w:num w:numId="3">
    <w:abstractNumId w:val="21"/>
  </w:num>
  <w:num w:numId="4">
    <w:abstractNumId w:val="5"/>
  </w:num>
  <w:num w:numId="5">
    <w:abstractNumId w:val="44"/>
  </w:num>
  <w:num w:numId="6">
    <w:abstractNumId w:val="32"/>
  </w:num>
  <w:num w:numId="7">
    <w:abstractNumId w:val="37"/>
  </w:num>
  <w:num w:numId="8">
    <w:abstractNumId w:val="9"/>
  </w:num>
  <w:num w:numId="9">
    <w:abstractNumId w:val="1"/>
  </w:num>
  <w:num w:numId="10">
    <w:abstractNumId w:val="40"/>
  </w:num>
  <w:num w:numId="11">
    <w:abstractNumId w:val="41"/>
  </w:num>
  <w:num w:numId="12">
    <w:abstractNumId w:val="30"/>
  </w:num>
  <w:num w:numId="13">
    <w:abstractNumId w:val="7"/>
  </w:num>
  <w:num w:numId="14">
    <w:abstractNumId w:val="23"/>
  </w:num>
  <w:num w:numId="15">
    <w:abstractNumId w:val="45"/>
  </w:num>
  <w:num w:numId="16">
    <w:abstractNumId w:val="42"/>
  </w:num>
  <w:num w:numId="17">
    <w:abstractNumId w:val="34"/>
  </w:num>
  <w:num w:numId="18">
    <w:abstractNumId w:val="2"/>
  </w:num>
  <w:num w:numId="19">
    <w:abstractNumId w:val="0"/>
  </w:num>
  <w:num w:numId="20">
    <w:abstractNumId w:val="3"/>
  </w:num>
  <w:num w:numId="21">
    <w:abstractNumId w:val="26"/>
  </w:num>
  <w:num w:numId="22">
    <w:abstractNumId w:val="47"/>
  </w:num>
  <w:num w:numId="23">
    <w:abstractNumId w:val="48"/>
  </w:num>
  <w:num w:numId="24">
    <w:abstractNumId w:val="49"/>
  </w:num>
  <w:num w:numId="25">
    <w:abstractNumId w:val="13"/>
  </w:num>
  <w:num w:numId="26">
    <w:abstractNumId w:val="52"/>
  </w:num>
  <w:num w:numId="27">
    <w:abstractNumId w:val="27"/>
  </w:num>
  <w:num w:numId="28">
    <w:abstractNumId w:val="16"/>
  </w:num>
  <w:num w:numId="29">
    <w:abstractNumId w:val="38"/>
  </w:num>
  <w:num w:numId="30">
    <w:abstractNumId w:val="8"/>
  </w:num>
  <w:num w:numId="31">
    <w:abstractNumId w:val="43"/>
  </w:num>
  <w:num w:numId="32">
    <w:abstractNumId w:val="39"/>
  </w:num>
  <w:num w:numId="33">
    <w:abstractNumId w:val="19"/>
  </w:num>
  <w:num w:numId="34">
    <w:abstractNumId w:val="12"/>
  </w:num>
  <w:num w:numId="35">
    <w:abstractNumId w:val="36"/>
  </w:num>
  <w:num w:numId="36">
    <w:abstractNumId w:val="6"/>
  </w:num>
  <w:num w:numId="37">
    <w:abstractNumId w:val="20"/>
  </w:num>
  <w:num w:numId="38">
    <w:abstractNumId w:val="17"/>
  </w:num>
  <w:num w:numId="39">
    <w:abstractNumId w:val="33"/>
  </w:num>
  <w:num w:numId="40">
    <w:abstractNumId w:val="25"/>
  </w:num>
  <w:num w:numId="41">
    <w:abstractNumId w:val="28"/>
  </w:num>
  <w:num w:numId="42">
    <w:abstractNumId w:val="24"/>
  </w:num>
  <w:num w:numId="43">
    <w:abstractNumId w:val="35"/>
  </w:num>
  <w:num w:numId="44">
    <w:abstractNumId w:val="50"/>
  </w:num>
  <w:num w:numId="45">
    <w:abstractNumId w:val="10"/>
  </w:num>
  <w:num w:numId="46">
    <w:abstractNumId w:val="18"/>
  </w:num>
  <w:num w:numId="47">
    <w:abstractNumId w:val="14"/>
  </w:num>
  <w:num w:numId="48">
    <w:abstractNumId w:val="22"/>
  </w:num>
  <w:num w:numId="49">
    <w:abstractNumId w:val="51"/>
  </w:num>
  <w:num w:numId="50">
    <w:abstractNumId w:val="11"/>
  </w:num>
  <w:num w:numId="51">
    <w:abstractNumId w:val="15"/>
  </w:num>
  <w:num w:numId="52">
    <w:abstractNumId w:val="46"/>
  </w:num>
  <w:num w:numId="53">
    <w:abstractNumId w:val="3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2015D"/>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2015D"/>
    <w:pPr>
      <w:spacing w:after="120"/>
    </w:pPr>
  </w:style>
  <w:style w:type="character" w:customStyle="1" w:styleId="af6">
    <w:name w:val="正文文本 字符"/>
    <w:basedOn w:val="a0"/>
    <w:link w:val="af5"/>
    <w:uiPriority w:val="99"/>
    <w:rsid w:val="00A201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0CE2C-6A6A-4531-B40A-7201D6F68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2026-11-07T16:52:00Z</dcterms:created>
  <dcterms:modified xsi:type="dcterms:W3CDTF">2026-11-07T16:52:00Z</dcterms:modified>
</cp:coreProperties>
</file>