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1597E3" w:rsidR="0049405C" w:rsidRPr="00187BAA" w:rsidRDefault="00AA0C63" w:rsidP="00AA0C63">
            <w:pPr>
              <w:spacing w:line="720" w:lineRule="auto"/>
              <w:rPr>
                <w:rFonts w:ascii="宋体" w:eastAsia="宋体" w:hAnsi="宋体"/>
                <w:color w:val="545551"/>
              </w:rPr>
            </w:pPr>
            <w:bookmarkStart w:id="0" w:name="xingming"/>
            <w:bookmarkStart w:id="1" w:name="_GoBack"/>
            <w:bookmarkEnd w:id="1"/>
            <w:r w:rsidRPr="00AA0C63">
              <w:rPr>
                <w:rFonts w:ascii="宋体" w:eastAsia="宋体" w:hAnsi="Times New Roman" w:hint="eastAsia"/>
                <w:b/>
                <w:color w:val="000000"/>
                <w:sz w:val="48"/>
              </w:rPr>
              <w:t>卜睿</w:t>
            </w:r>
            <w:bookmarkEnd w:id="0"/>
          </w:p>
          <w:p w14:paraId="274387A2" w14:textId="77777777" w:rsidR="00AA0C63" w:rsidRPr="00AA0C63" w:rsidRDefault="00AA0C63" w:rsidP="00AA0C63">
            <w:pPr>
              <w:spacing w:line="360" w:lineRule="auto"/>
              <w:rPr>
                <w:rFonts w:ascii="宋体" w:eastAsia="宋体" w:hAnsi="Times New Roman"/>
                <w:b/>
                <w:bCs/>
                <w:color w:val="000000"/>
              </w:rPr>
            </w:pPr>
            <w:bookmarkStart w:id="2" w:name="didian"/>
            <w:r w:rsidRPr="00AA0C63">
              <w:rPr>
                <w:rFonts w:ascii="宋体" w:eastAsia="宋体" w:hAnsi="Times New Roman" w:hint="eastAsia"/>
                <w:b/>
                <w:bCs/>
                <w:color w:val="000000"/>
              </w:rPr>
              <w:t>北京</w:t>
            </w:r>
          </w:p>
          <w:p w14:paraId="706EB16B" w14:textId="64B70C72" w:rsidR="0049405C" w:rsidRPr="00187BAA" w:rsidRDefault="00AA0C63" w:rsidP="00AA0C63">
            <w:pPr>
              <w:spacing w:line="360" w:lineRule="auto"/>
              <w:rPr>
                <w:rFonts w:ascii="宋体" w:eastAsia="宋体" w:hAnsi="宋体"/>
                <w:b/>
                <w:bCs/>
                <w:color w:val="545551"/>
              </w:rPr>
            </w:pPr>
            <w:r w:rsidRPr="00AA0C63">
              <w:rPr>
                <w:rFonts w:ascii="宋体" w:eastAsia="宋体" w:hAnsi="Times New Roman" w:hint="eastAsia"/>
                <w:b/>
                <w:bCs/>
                <w:color w:val="000000"/>
              </w:rPr>
              <w:t>注册外地律师（美国纽约）·香港</w:t>
            </w:r>
            <w:bookmarkEnd w:id="2"/>
          </w:p>
          <w:p w14:paraId="6199424A" w14:textId="5D654CE6" w:rsidR="0049405C" w:rsidRPr="00187BAA" w:rsidRDefault="00AA0C63" w:rsidP="00AA0C63">
            <w:pPr>
              <w:spacing w:line="360" w:lineRule="auto"/>
              <w:rPr>
                <w:rFonts w:ascii="宋体" w:eastAsia="宋体" w:hAnsi="宋体"/>
                <w:color w:val="545551"/>
              </w:rPr>
            </w:pPr>
            <w:bookmarkStart w:id="3" w:name="dianhua"/>
            <w:r w:rsidRPr="00AA0C63">
              <w:rPr>
                <w:rFonts w:ascii="宋体" w:eastAsia="宋体" w:hAnsi="Times New Roman"/>
                <w:color w:val="000000"/>
              </w:rPr>
              <w:t xml:space="preserve">+86 10 5769 4266 / +86 17302100901 </w:t>
            </w:r>
            <w:bookmarkEnd w:id="3"/>
          </w:p>
          <w:p w14:paraId="4F910ACA" w14:textId="12440B71" w:rsidR="0049405C" w:rsidRPr="00187BAA" w:rsidRDefault="00AA0C63" w:rsidP="00AA0C63">
            <w:pPr>
              <w:spacing w:line="360" w:lineRule="auto"/>
              <w:rPr>
                <w:rFonts w:ascii="宋体" w:eastAsia="宋体" w:hAnsi="宋体"/>
                <w:color w:val="000000"/>
              </w:rPr>
            </w:pPr>
            <w:bookmarkStart w:id="4" w:name="youxiang"/>
            <w:r w:rsidRPr="00AA0C63">
              <w:rPr>
                <w:rFonts w:ascii="宋体" w:eastAsia="宋体" w:hAnsi="Times New Roman"/>
                <w:color w:val="000000"/>
              </w:rPr>
              <w:t>rui.bu@fangdalaw.com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C067E2" w:rsidR="0049405C" w:rsidRPr="00187BAA" w:rsidRDefault="00AA0C6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75E1C20" wp14:editId="633CF3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77B981" w:rsidR="009465FB" w:rsidRPr="00187BAA" w:rsidRDefault="00AA0C63" w:rsidP="007177F3">
            <w:pPr>
              <w:rPr>
                <w:rFonts w:ascii="宋体" w:eastAsia="宋体" w:hAnsi="宋体"/>
                <w:color w:val="000000"/>
                <w:szCs w:val="21"/>
              </w:rPr>
            </w:pPr>
            <w:bookmarkStart w:id="6" w:name="zhiyelingyu"/>
            <w:r w:rsidRPr="00AA0C63">
              <w:rPr>
                <w:rFonts w:ascii="宋体" w:eastAsia="宋体" w:hAnsi="Times New Roman" w:hint="eastAsia"/>
                <w:color w:val="000000"/>
                <w:szCs w:val="21"/>
              </w:rPr>
              <w:t>卜睿的主要执业领域为兼并与收购、私募股权融资、中企出海、外商直接投资和一般公司事务。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7D6664" w14:textId="77777777" w:rsidR="00AA0C6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4E0B50"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近期代理的主要案件</w:t>
      </w:r>
    </w:p>
    <w:p w14:paraId="46B945A1" w14:textId="77777777" w:rsidR="00AA0C63" w:rsidRDefault="00AA0C63" w:rsidP="00AA0C63">
      <w:pPr>
        <w:pStyle w:val="af5"/>
        <w:spacing w:before="120"/>
        <w:rPr>
          <w:rFonts w:ascii="宋体" w:eastAsia="宋体" w:hAnsi="Times New Roman"/>
          <w:color w:val="000000"/>
        </w:rPr>
      </w:pPr>
      <w:r w:rsidRPr="00AA0C63">
        <w:rPr>
          <w:rFonts w:ascii="宋体" w:eastAsia="宋体" w:hAnsi="Times New Roman" w:hint="eastAsia"/>
          <w:color w:val="000000"/>
        </w:rPr>
        <w:t>并购领域</w:t>
      </w:r>
    </w:p>
    <w:p w14:paraId="64CD376F" w14:textId="77777777" w:rsidR="00AA0C63" w:rsidRDefault="00AA0C63" w:rsidP="00AA0C63">
      <w:pPr>
        <w:pStyle w:val="af5"/>
        <w:numPr>
          <w:ilvl w:val="0"/>
          <w:numId w:val="4"/>
        </w:numPr>
        <w:spacing w:before="120"/>
        <w:ind w:left="690" w:hanging="240"/>
        <w:rPr>
          <w:rFonts w:ascii="宋体" w:eastAsia="宋体" w:hAnsi="Times New Roman"/>
          <w:color w:val="000000"/>
        </w:rPr>
      </w:pPr>
      <w:r w:rsidRPr="00AA0C63">
        <w:rPr>
          <w:rFonts w:ascii="宋体" w:eastAsia="宋体" w:hAnsi="Times New Roman" w:hint="eastAsia"/>
          <w:color w:val="000000"/>
        </w:rPr>
        <w:t>代表由百世集团（</w:t>
      </w:r>
      <w:r w:rsidRPr="00AA0C63">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602C04FA" w14:textId="77777777" w:rsidR="00AA0C63" w:rsidRDefault="00AA0C63" w:rsidP="00AA0C63">
      <w:pPr>
        <w:pStyle w:val="af5"/>
        <w:numPr>
          <w:ilvl w:val="0"/>
          <w:numId w:val="5"/>
        </w:numPr>
        <w:spacing w:before="120"/>
        <w:ind w:left="690" w:hanging="240"/>
        <w:rPr>
          <w:rFonts w:ascii="宋体" w:eastAsia="宋体" w:hAnsi="Times New Roman"/>
          <w:color w:val="000000"/>
        </w:rPr>
      </w:pPr>
      <w:r w:rsidRPr="00AA0C63">
        <w:rPr>
          <w:rFonts w:ascii="宋体" w:eastAsia="宋体" w:hAnsi="Times New Roman" w:hint="eastAsia"/>
          <w:color w:val="000000"/>
        </w:rPr>
        <w:t>代表纳斯达克上市公司金山云</w:t>
      </w:r>
      <w:r w:rsidRPr="00AA0C63">
        <w:rPr>
          <w:rFonts w:ascii="宋体" w:eastAsia="宋体" w:hAnsi="Times New Roman"/>
          <w:color w:val="000000"/>
        </w:rPr>
        <w:t>(Kingsoft Cloud)以约48亿人民币的价格收购柯莱特(Camelot)公司的控制权</w:t>
      </w:r>
    </w:p>
    <w:p w14:paraId="6967632A" w14:textId="77777777" w:rsidR="00AA0C63" w:rsidRDefault="00AA0C63" w:rsidP="00AA0C63">
      <w:pPr>
        <w:pStyle w:val="af5"/>
        <w:numPr>
          <w:ilvl w:val="0"/>
          <w:numId w:val="6"/>
        </w:numPr>
        <w:spacing w:before="120"/>
        <w:ind w:left="690" w:hanging="240"/>
        <w:rPr>
          <w:rFonts w:ascii="宋体" w:eastAsia="宋体" w:hAnsi="Times New Roman"/>
          <w:color w:val="000000"/>
        </w:rPr>
      </w:pPr>
      <w:r w:rsidRPr="00AA0C63">
        <w:rPr>
          <w:rFonts w:ascii="宋体" w:eastAsia="宋体" w:hAnsi="Times New Roman" w:hint="eastAsia"/>
          <w:color w:val="000000"/>
        </w:rPr>
        <w:t>代表国家电网以</w:t>
      </w:r>
      <w:r w:rsidRPr="00AA0C63">
        <w:rPr>
          <w:rFonts w:ascii="宋体" w:eastAsia="宋体" w:hAnsi="Times New Roman"/>
          <w:color w:val="000000"/>
        </w:rPr>
        <w:t>22.3亿美元收购美国桑普拉能源公司所持有的智利切昆塔公司100%股权及其他智利电力资产</w:t>
      </w:r>
    </w:p>
    <w:p w14:paraId="22D88F62" w14:textId="77777777" w:rsidR="00AA0C63" w:rsidRDefault="00AA0C63" w:rsidP="00AA0C63">
      <w:pPr>
        <w:pStyle w:val="af5"/>
        <w:numPr>
          <w:ilvl w:val="0"/>
          <w:numId w:val="7"/>
        </w:numPr>
        <w:spacing w:before="120"/>
        <w:ind w:left="690" w:hanging="240"/>
        <w:rPr>
          <w:rFonts w:ascii="宋体" w:eastAsia="宋体" w:hAnsi="Times New Roman"/>
          <w:color w:val="000000"/>
        </w:rPr>
      </w:pPr>
      <w:r w:rsidRPr="00AA0C63">
        <w:rPr>
          <w:rFonts w:ascii="宋体" w:eastAsia="宋体" w:hAnsi="Times New Roman" w:hint="eastAsia"/>
          <w:color w:val="000000"/>
        </w:rPr>
        <w:t>作为凯雷投资集团（</w:t>
      </w:r>
      <w:r w:rsidRPr="00AA0C63">
        <w:rPr>
          <w:rFonts w:ascii="宋体" w:eastAsia="宋体" w:hAnsi="Times New Roman"/>
          <w:color w:val="000000"/>
        </w:rPr>
        <w:t>the Carlyle Group）的中国律师，代表其以约20亿欧元(23.7亿美元)的价格收购西门子旗下专业动力传动设备制造商弗兰德(Flender)</w:t>
      </w:r>
    </w:p>
    <w:p w14:paraId="1292B737" w14:textId="77777777" w:rsidR="00AA0C63" w:rsidRDefault="00AA0C63" w:rsidP="00AA0C63">
      <w:pPr>
        <w:pStyle w:val="af5"/>
        <w:numPr>
          <w:ilvl w:val="0"/>
          <w:numId w:val="8"/>
        </w:numPr>
        <w:spacing w:before="120"/>
        <w:ind w:left="690" w:hanging="240"/>
        <w:rPr>
          <w:rFonts w:ascii="宋体" w:eastAsia="宋体" w:hAnsi="Times New Roman"/>
          <w:color w:val="000000"/>
        </w:rPr>
      </w:pPr>
      <w:r w:rsidRPr="00AA0C63">
        <w:rPr>
          <w:rFonts w:ascii="宋体" w:eastAsia="宋体" w:hAnsi="Times New Roman" w:hint="eastAsia"/>
          <w:color w:val="000000"/>
        </w:rPr>
        <w:t>作为凯雷投资集团（</w:t>
      </w:r>
      <w:r w:rsidRPr="00AA0C63">
        <w:rPr>
          <w:rFonts w:ascii="宋体" w:eastAsia="宋体" w:hAnsi="Times New Roman"/>
          <w:color w:val="000000"/>
        </w:rPr>
        <w:t>the Carlyle Group）的中国律师，代表其以约77亿欧元的价格收购巴斯夫（BASF）涂料业务</w:t>
      </w:r>
    </w:p>
    <w:p w14:paraId="7C647CF4" w14:textId="77777777" w:rsidR="00AA0C63" w:rsidRDefault="00AA0C63" w:rsidP="00AA0C63">
      <w:pPr>
        <w:pStyle w:val="af5"/>
        <w:numPr>
          <w:ilvl w:val="0"/>
          <w:numId w:val="9"/>
        </w:numPr>
        <w:spacing w:before="120"/>
        <w:ind w:left="690" w:hanging="240"/>
        <w:rPr>
          <w:rFonts w:ascii="宋体" w:eastAsia="宋体" w:hAnsi="Times New Roman"/>
          <w:color w:val="000000"/>
        </w:rPr>
      </w:pPr>
      <w:r w:rsidRPr="00AA0C63">
        <w:rPr>
          <w:rFonts w:ascii="宋体" w:eastAsia="宋体" w:hAnsi="Times New Roman" w:hint="eastAsia"/>
          <w:color w:val="000000"/>
        </w:rPr>
        <w:t>代表阿里影业以约</w:t>
      </w:r>
      <w:r w:rsidRPr="00AA0C63">
        <w:rPr>
          <w:rFonts w:ascii="宋体" w:eastAsia="宋体" w:hAnsi="Times New Roman"/>
          <w:color w:val="000000"/>
        </w:rPr>
        <w:t>1.67亿美元的价格收购大麦</w:t>
      </w:r>
    </w:p>
    <w:p w14:paraId="25A5EA92" w14:textId="77777777" w:rsidR="00AA0C63" w:rsidRDefault="00AA0C63" w:rsidP="00AA0C63">
      <w:pPr>
        <w:pStyle w:val="af5"/>
        <w:numPr>
          <w:ilvl w:val="0"/>
          <w:numId w:val="10"/>
        </w:numPr>
        <w:spacing w:before="120"/>
        <w:ind w:left="690" w:hanging="240"/>
        <w:rPr>
          <w:rFonts w:ascii="宋体" w:eastAsia="宋体" w:hAnsi="Times New Roman"/>
          <w:color w:val="000000"/>
        </w:rPr>
      </w:pPr>
      <w:r w:rsidRPr="00AA0C63">
        <w:rPr>
          <w:rFonts w:ascii="宋体" w:eastAsia="宋体" w:hAnsi="Times New Roman" w:hint="eastAsia"/>
          <w:color w:val="000000"/>
        </w:rPr>
        <w:t>作为善水资本（</w:t>
      </w:r>
      <w:r w:rsidRPr="00AA0C63">
        <w:rPr>
          <w:rFonts w:ascii="宋体" w:eastAsia="宋体" w:hAnsi="Times New Roman"/>
          <w:color w:val="000000"/>
        </w:rPr>
        <w:t>Templewater）的中国律师，代表其以约1.2亿新加坡元的价格收购总部位于新加坡的耐尔达精密工程公司（Knight Auto Precision Engineering Pte Ltd）</w:t>
      </w:r>
    </w:p>
    <w:p w14:paraId="024C9AE9" w14:textId="77777777" w:rsidR="00AA0C63" w:rsidRDefault="00AA0C63" w:rsidP="00AA0C63">
      <w:pPr>
        <w:pStyle w:val="af5"/>
        <w:numPr>
          <w:ilvl w:val="0"/>
          <w:numId w:val="11"/>
        </w:numPr>
        <w:spacing w:before="120"/>
        <w:ind w:left="690" w:hanging="240"/>
        <w:rPr>
          <w:rFonts w:ascii="宋体" w:eastAsia="宋体" w:hAnsi="Times New Roman"/>
          <w:color w:val="000000"/>
        </w:rPr>
      </w:pPr>
      <w:r w:rsidRPr="00AA0C63">
        <w:rPr>
          <w:rFonts w:ascii="宋体" w:eastAsia="宋体" w:hAnsi="Times New Roman" w:hint="eastAsia"/>
          <w:color w:val="000000"/>
        </w:rPr>
        <w:t>代表英国石油（</w:t>
      </w:r>
      <w:r w:rsidRPr="00AA0C63">
        <w:rPr>
          <w:rFonts w:ascii="宋体" w:eastAsia="宋体" w:hAnsi="Times New Roman"/>
          <w:color w:val="000000"/>
        </w:rPr>
        <w:t>British Petroleum）在电动车充电领域进行多项收购</w:t>
      </w:r>
    </w:p>
    <w:p w14:paraId="0A29505A" w14:textId="77777777" w:rsidR="00AA0C63" w:rsidRDefault="00AA0C63" w:rsidP="00AA0C63">
      <w:pPr>
        <w:pStyle w:val="af5"/>
        <w:numPr>
          <w:ilvl w:val="0"/>
          <w:numId w:val="12"/>
        </w:numPr>
        <w:spacing w:before="120"/>
        <w:ind w:left="690" w:hanging="240"/>
        <w:rPr>
          <w:rFonts w:ascii="宋体" w:eastAsia="宋体" w:hAnsi="Times New Roman"/>
          <w:color w:val="000000"/>
        </w:rPr>
      </w:pPr>
      <w:r w:rsidRPr="00AA0C63">
        <w:rPr>
          <w:rFonts w:ascii="宋体" w:eastAsia="宋体" w:hAnsi="Times New Roman" w:hint="eastAsia"/>
          <w:color w:val="000000"/>
        </w:rPr>
        <w:t>代表</w:t>
      </w:r>
      <w:r w:rsidRPr="00AA0C63">
        <w:rPr>
          <w:rFonts w:ascii="宋体" w:eastAsia="宋体" w:hAnsi="Times New Roman"/>
          <w:color w:val="000000"/>
        </w:rPr>
        <w:t>IDG资本（IDG Capital）和I.T集团以约2亿美元联合投资瑞典时装品牌Acne Studios 41%的股份</w:t>
      </w:r>
    </w:p>
    <w:p w14:paraId="72B7CF67" w14:textId="77777777" w:rsidR="00AA0C63" w:rsidRDefault="00AA0C63" w:rsidP="00AA0C63">
      <w:pPr>
        <w:pStyle w:val="af5"/>
        <w:numPr>
          <w:ilvl w:val="0"/>
          <w:numId w:val="13"/>
        </w:numPr>
        <w:spacing w:before="120"/>
        <w:ind w:left="690" w:hanging="240"/>
        <w:rPr>
          <w:rFonts w:ascii="宋体" w:eastAsia="宋体" w:hAnsi="Times New Roman"/>
          <w:color w:val="000000"/>
        </w:rPr>
      </w:pPr>
      <w:r w:rsidRPr="00AA0C63">
        <w:rPr>
          <w:rFonts w:ascii="宋体" w:eastAsia="宋体" w:hAnsi="Times New Roman" w:hint="eastAsia"/>
          <w:color w:val="000000"/>
        </w:rPr>
        <w:t>代表中石化拟议收购雪佛龙公司（</w:t>
      </w:r>
      <w:r w:rsidRPr="00AA0C63">
        <w:rPr>
          <w:rFonts w:ascii="宋体" w:eastAsia="宋体" w:hAnsi="Times New Roman"/>
          <w:color w:val="000000"/>
        </w:rPr>
        <w:t>Chevron）位于南非和博兹瓦纳的下游油气资产</w:t>
      </w:r>
    </w:p>
    <w:p w14:paraId="1812E80B" w14:textId="77777777" w:rsidR="00AA0C63" w:rsidRDefault="00AA0C63" w:rsidP="00AA0C63">
      <w:pPr>
        <w:pStyle w:val="af5"/>
        <w:spacing w:before="120"/>
        <w:rPr>
          <w:rFonts w:ascii="宋体" w:eastAsia="宋体" w:hAnsi="Times New Roman"/>
          <w:color w:val="000000"/>
        </w:rPr>
      </w:pPr>
      <w:r w:rsidRPr="00AA0C63">
        <w:rPr>
          <w:rFonts w:ascii="宋体" w:eastAsia="宋体" w:hAnsi="Times New Roman" w:hint="eastAsia"/>
          <w:color w:val="000000"/>
        </w:rPr>
        <w:t>私募与风险股权投资</w:t>
      </w:r>
    </w:p>
    <w:p w14:paraId="50369FB7" w14:textId="77777777" w:rsidR="00AA0C63" w:rsidRDefault="00AA0C63" w:rsidP="00AA0C63">
      <w:pPr>
        <w:pStyle w:val="af5"/>
        <w:numPr>
          <w:ilvl w:val="0"/>
          <w:numId w:val="14"/>
        </w:numPr>
        <w:spacing w:before="120"/>
        <w:ind w:left="690" w:hanging="240"/>
        <w:rPr>
          <w:rFonts w:ascii="宋体" w:eastAsia="宋体" w:hAnsi="Times New Roman"/>
          <w:color w:val="000000"/>
        </w:rPr>
      </w:pPr>
      <w:r w:rsidRPr="00AA0C63">
        <w:rPr>
          <w:rFonts w:ascii="宋体" w:eastAsia="宋体" w:hAnsi="Times New Roman" w:hint="eastAsia"/>
          <w:color w:val="000000"/>
        </w:rPr>
        <w:t>代表</w:t>
      </w:r>
      <w:r w:rsidRPr="00AA0C63">
        <w:rPr>
          <w:rFonts w:ascii="宋体" w:eastAsia="宋体" w:hAnsi="Times New Roman"/>
          <w:color w:val="000000"/>
        </w:rPr>
        <w:t>RA Capital投资康乃德生物医药</w:t>
      </w:r>
    </w:p>
    <w:p w14:paraId="2527BE64" w14:textId="77777777" w:rsidR="00AA0C63" w:rsidRDefault="00AA0C63" w:rsidP="00AA0C63">
      <w:pPr>
        <w:pStyle w:val="af5"/>
        <w:numPr>
          <w:ilvl w:val="0"/>
          <w:numId w:val="15"/>
        </w:numPr>
        <w:spacing w:before="120"/>
        <w:ind w:left="690" w:hanging="240"/>
        <w:rPr>
          <w:rFonts w:ascii="宋体" w:eastAsia="宋体" w:hAnsi="Times New Roman"/>
          <w:color w:val="000000"/>
        </w:rPr>
      </w:pPr>
      <w:r w:rsidRPr="00AA0C63">
        <w:rPr>
          <w:rFonts w:ascii="宋体" w:eastAsia="宋体" w:hAnsi="Times New Roman" w:hint="eastAsia"/>
          <w:color w:val="000000"/>
        </w:rPr>
        <w:t>代表高盛（</w:t>
      </w:r>
      <w:r w:rsidRPr="00AA0C63">
        <w:rPr>
          <w:rFonts w:ascii="宋体" w:eastAsia="宋体" w:hAnsi="Times New Roman"/>
          <w:color w:val="000000"/>
        </w:rPr>
        <w:t>Goldman Sachs）投资苏宁体育</w:t>
      </w:r>
    </w:p>
    <w:p w14:paraId="18825475" w14:textId="77777777" w:rsidR="00AA0C63" w:rsidRDefault="00AA0C63" w:rsidP="00AA0C63">
      <w:pPr>
        <w:pStyle w:val="af5"/>
        <w:numPr>
          <w:ilvl w:val="0"/>
          <w:numId w:val="16"/>
        </w:numPr>
        <w:spacing w:before="120"/>
        <w:ind w:left="690" w:hanging="240"/>
        <w:rPr>
          <w:rFonts w:ascii="宋体" w:eastAsia="宋体" w:hAnsi="Times New Roman"/>
          <w:color w:val="000000"/>
        </w:rPr>
      </w:pPr>
      <w:r w:rsidRPr="00AA0C63">
        <w:rPr>
          <w:rFonts w:ascii="宋体" w:eastAsia="宋体" w:hAnsi="Times New Roman" w:hint="eastAsia"/>
          <w:color w:val="000000"/>
        </w:rPr>
        <w:t>代表凯雷投资集团（</w:t>
      </w:r>
      <w:r w:rsidRPr="00AA0C63">
        <w:rPr>
          <w:rFonts w:ascii="宋体" w:eastAsia="宋体" w:hAnsi="Times New Roman"/>
          <w:color w:val="000000"/>
        </w:rPr>
        <w:t>the Carlyle Group）投资中国第三方独立医学检验机构艾迪康医学检验中心有限公司</w:t>
      </w:r>
    </w:p>
    <w:p w14:paraId="55646C77" w14:textId="77777777" w:rsidR="00AA0C63" w:rsidRDefault="00AA0C63" w:rsidP="00AA0C63">
      <w:pPr>
        <w:pStyle w:val="af5"/>
        <w:numPr>
          <w:ilvl w:val="0"/>
          <w:numId w:val="17"/>
        </w:numPr>
        <w:spacing w:before="120"/>
        <w:ind w:left="690" w:hanging="240"/>
        <w:rPr>
          <w:rFonts w:ascii="宋体" w:eastAsia="宋体" w:hAnsi="Times New Roman"/>
          <w:color w:val="000000"/>
        </w:rPr>
      </w:pPr>
      <w:r w:rsidRPr="00AA0C63">
        <w:rPr>
          <w:rFonts w:ascii="宋体" w:eastAsia="宋体" w:hAnsi="Times New Roman" w:hint="eastAsia"/>
          <w:color w:val="000000"/>
        </w:rPr>
        <w:t>代表泛大西洋投资集团（</w:t>
      </w:r>
      <w:r w:rsidRPr="00AA0C63">
        <w:rPr>
          <w:rFonts w:ascii="宋体" w:eastAsia="宋体" w:hAnsi="Times New Roman"/>
          <w:color w:val="000000"/>
        </w:rPr>
        <w:t>General Atlantic）投资网易云音乐、自如、Today便利店、以及叮咚买菜等</w:t>
      </w:r>
    </w:p>
    <w:p w14:paraId="089741EA" w14:textId="77777777" w:rsidR="00AA0C63" w:rsidRDefault="00AA0C63" w:rsidP="00AA0C63">
      <w:pPr>
        <w:pStyle w:val="af5"/>
        <w:numPr>
          <w:ilvl w:val="0"/>
          <w:numId w:val="18"/>
        </w:numPr>
        <w:spacing w:before="120"/>
        <w:ind w:left="690" w:hanging="240"/>
        <w:rPr>
          <w:rFonts w:ascii="宋体" w:eastAsia="宋体" w:hAnsi="Times New Roman"/>
          <w:color w:val="000000"/>
        </w:rPr>
      </w:pPr>
      <w:r w:rsidRPr="00AA0C63">
        <w:rPr>
          <w:rFonts w:ascii="宋体" w:eastAsia="宋体" w:hAnsi="Times New Roman" w:hint="eastAsia"/>
          <w:color w:val="000000"/>
        </w:rPr>
        <w:t>代表淡马锡（</w:t>
      </w:r>
      <w:r w:rsidRPr="00AA0C63">
        <w:rPr>
          <w:rFonts w:ascii="宋体" w:eastAsia="宋体" w:hAnsi="Times New Roman"/>
          <w:color w:val="000000"/>
        </w:rPr>
        <w:t>Temasek）投资亘喜生物</w:t>
      </w:r>
    </w:p>
    <w:p w14:paraId="45EF4303" w14:textId="77777777" w:rsidR="00AA0C63" w:rsidRDefault="00AA0C63" w:rsidP="00AA0C63">
      <w:pPr>
        <w:pStyle w:val="af5"/>
        <w:numPr>
          <w:ilvl w:val="0"/>
          <w:numId w:val="19"/>
        </w:numPr>
        <w:spacing w:before="120"/>
        <w:ind w:left="690" w:hanging="240"/>
        <w:rPr>
          <w:rFonts w:ascii="宋体" w:eastAsia="宋体" w:hAnsi="Times New Roman"/>
          <w:color w:val="000000"/>
        </w:rPr>
      </w:pPr>
      <w:r w:rsidRPr="00AA0C63">
        <w:rPr>
          <w:rFonts w:ascii="宋体" w:eastAsia="宋体" w:hAnsi="Times New Roman" w:hint="eastAsia"/>
          <w:color w:val="000000"/>
        </w:rPr>
        <w:t>代表阿里巴巴投资怪兽充电和河狸家</w:t>
      </w:r>
    </w:p>
    <w:p w14:paraId="7D2C3282" w14:textId="77777777" w:rsidR="00AA0C63" w:rsidRDefault="00AA0C63" w:rsidP="00AA0C63">
      <w:pPr>
        <w:pStyle w:val="af5"/>
        <w:numPr>
          <w:ilvl w:val="0"/>
          <w:numId w:val="20"/>
        </w:numPr>
        <w:spacing w:before="120"/>
        <w:ind w:left="690" w:hanging="240"/>
        <w:rPr>
          <w:rFonts w:ascii="宋体" w:eastAsia="宋体" w:hAnsi="Times New Roman"/>
          <w:color w:val="000000"/>
        </w:rPr>
      </w:pPr>
      <w:r w:rsidRPr="00AA0C63">
        <w:rPr>
          <w:rFonts w:ascii="宋体" w:eastAsia="宋体" w:hAnsi="Times New Roman" w:hint="eastAsia"/>
          <w:color w:val="000000"/>
        </w:rPr>
        <w:t>代表奈雪の茶参与太盟投资集团</w:t>
      </w:r>
      <w:r w:rsidRPr="00AA0C63">
        <w:rPr>
          <w:rFonts w:ascii="宋体" w:eastAsia="宋体" w:hAnsi="Times New Roman"/>
          <w:color w:val="000000"/>
        </w:rPr>
        <w:t>(PAG)对其的C轮融资，并提供法律建议及交易服务</w:t>
      </w:r>
    </w:p>
    <w:p w14:paraId="3846E73F" w14:textId="77777777" w:rsidR="00AA0C63" w:rsidRDefault="00AA0C63" w:rsidP="00AA0C63">
      <w:pPr>
        <w:pStyle w:val="af5"/>
        <w:numPr>
          <w:ilvl w:val="0"/>
          <w:numId w:val="21"/>
        </w:numPr>
        <w:spacing w:before="120"/>
        <w:ind w:left="690" w:hanging="240"/>
        <w:rPr>
          <w:rFonts w:ascii="宋体" w:eastAsia="宋体" w:hAnsi="Times New Roman"/>
          <w:color w:val="000000"/>
        </w:rPr>
      </w:pPr>
      <w:r w:rsidRPr="00AA0C63">
        <w:rPr>
          <w:rFonts w:ascii="宋体" w:eastAsia="宋体" w:hAnsi="Times New Roman" w:hint="eastAsia"/>
          <w:color w:val="000000"/>
        </w:rPr>
        <w:t>代表多家风险投资机构和私募基金进行股权投资，这些机构包括但不限于</w:t>
      </w:r>
      <w:r w:rsidRPr="00AA0C63">
        <w:rPr>
          <w:rFonts w:ascii="宋体" w:eastAsia="宋体" w:hAnsi="Times New Roman"/>
          <w:color w:val="000000"/>
        </w:rPr>
        <w:t>IDG 资本、博裕资本、红衫资本、博世创投、殷拓集团（EQT Partners）、信金资本、高瓴资本、春华资本、元实资本、亚投资本以及中银国际。</w:t>
      </w:r>
    </w:p>
    <w:p w14:paraId="5F1FF6A9" w14:textId="77777777" w:rsidR="00AA0C63" w:rsidRDefault="00AA0C63" w:rsidP="00AA0C63">
      <w:pPr>
        <w:pStyle w:val="af5"/>
        <w:spacing w:before="120"/>
        <w:rPr>
          <w:rFonts w:ascii="宋体" w:eastAsia="宋体" w:hAnsi="Times New Roman"/>
          <w:color w:val="000000"/>
        </w:rPr>
      </w:pPr>
      <w:r w:rsidRPr="00AA0C63">
        <w:rPr>
          <w:rFonts w:ascii="宋体" w:eastAsia="宋体" w:hAnsi="Times New Roman" w:hint="eastAsia"/>
          <w:color w:val="000000"/>
        </w:rPr>
        <w:t>中企出海</w:t>
      </w:r>
    </w:p>
    <w:p w14:paraId="2C1FC65F" w14:textId="77777777" w:rsidR="00AA0C63" w:rsidRDefault="00AA0C63" w:rsidP="00AA0C63">
      <w:pPr>
        <w:pStyle w:val="af5"/>
        <w:numPr>
          <w:ilvl w:val="0"/>
          <w:numId w:val="22"/>
        </w:numPr>
        <w:spacing w:before="120"/>
        <w:ind w:left="690" w:hanging="240"/>
        <w:rPr>
          <w:rFonts w:ascii="宋体" w:eastAsia="宋体" w:hAnsi="Times New Roman"/>
          <w:color w:val="000000"/>
        </w:rPr>
      </w:pPr>
      <w:r w:rsidRPr="00AA0C63">
        <w:rPr>
          <w:rFonts w:ascii="宋体" w:eastAsia="宋体" w:hAnsi="Times New Roman" w:hint="eastAsia"/>
          <w:color w:val="000000"/>
        </w:rPr>
        <w:t>代表浙江庞鑫电力能源有限公司收购某新加坡上市公司的股份</w:t>
      </w:r>
    </w:p>
    <w:p w14:paraId="21AC61DD" w14:textId="77777777" w:rsidR="00AA0C63" w:rsidRDefault="00AA0C63" w:rsidP="00AA0C63">
      <w:pPr>
        <w:pStyle w:val="af5"/>
        <w:numPr>
          <w:ilvl w:val="0"/>
          <w:numId w:val="23"/>
        </w:numPr>
        <w:spacing w:before="120"/>
        <w:ind w:left="690" w:hanging="240"/>
        <w:rPr>
          <w:rFonts w:ascii="宋体" w:eastAsia="宋体" w:hAnsi="Times New Roman"/>
          <w:color w:val="000000"/>
        </w:rPr>
      </w:pPr>
      <w:r w:rsidRPr="00AA0C63">
        <w:rPr>
          <w:rFonts w:ascii="宋体" w:eastAsia="宋体" w:hAnsi="Times New Roman" w:hint="eastAsia"/>
          <w:color w:val="000000"/>
        </w:rPr>
        <w:t>代表墨迹天气为其海外版</w:t>
      </w:r>
      <w:r w:rsidRPr="00AA0C63">
        <w:rPr>
          <w:rFonts w:ascii="宋体" w:eastAsia="宋体" w:hAnsi="Times New Roman"/>
          <w:color w:val="000000"/>
        </w:rPr>
        <w:t>APP上架项目提供法律服务</w:t>
      </w:r>
    </w:p>
    <w:p w14:paraId="50FC2592" w14:textId="77777777" w:rsidR="00AA0C63" w:rsidRDefault="00AA0C63" w:rsidP="00AA0C63">
      <w:pPr>
        <w:pStyle w:val="af5"/>
        <w:numPr>
          <w:ilvl w:val="0"/>
          <w:numId w:val="24"/>
        </w:numPr>
        <w:spacing w:before="120"/>
        <w:ind w:left="690" w:hanging="240"/>
        <w:rPr>
          <w:rFonts w:ascii="宋体" w:eastAsia="宋体" w:hAnsi="Times New Roman"/>
          <w:color w:val="000000"/>
        </w:rPr>
      </w:pPr>
      <w:r w:rsidRPr="00AA0C63">
        <w:rPr>
          <w:rFonts w:ascii="宋体" w:eastAsia="宋体" w:hAnsi="Times New Roman" w:hint="eastAsia"/>
          <w:color w:val="000000"/>
        </w:rPr>
        <w:t>代表某日资企业中国子公司为其哈萨克斯坦能源收购项目提供法律服务</w:t>
      </w:r>
    </w:p>
    <w:p w14:paraId="67E0247B" w14:textId="77777777" w:rsidR="00AA0C63" w:rsidRDefault="00AA0C63" w:rsidP="00AA0C63">
      <w:pPr>
        <w:pStyle w:val="af5"/>
        <w:numPr>
          <w:ilvl w:val="0"/>
          <w:numId w:val="25"/>
        </w:numPr>
        <w:spacing w:before="120"/>
        <w:ind w:left="690" w:hanging="240"/>
        <w:rPr>
          <w:rFonts w:ascii="宋体" w:eastAsia="宋体" w:hAnsi="Times New Roman"/>
          <w:color w:val="000000"/>
        </w:rPr>
      </w:pPr>
      <w:r w:rsidRPr="00AA0C63">
        <w:rPr>
          <w:rFonts w:ascii="宋体" w:eastAsia="宋体" w:hAnsi="Times New Roman" w:hint="eastAsia"/>
          <w:color w:val="000000"/>
        </w:rPr>
        <w:t>代表上海市某芯片设计企业为其沙特投资项目提供法律服务</w:t>
      </w:r>
    </w:p>
    <w:p w14:paraId="14ACED2E" w14:textId="77777777" w:rsidR="00AA0C63" w:rsidRDefault="00AA0C63" w:rsidP="00AA0C63">
      <w:pPr>
        <w:pStyle w:val="af5"/>
        <w:numPr>
          <w:ilvl w:val="0"/>
          <w:numId w:val="26"/>
        </w:numPr>
        <w:spacing w:before="120"/>
        <w:ind w:left="690" w:hanging="240"/>
        <w:rPr>
          <w:rFonts w:ascii="宋体" w:eastAsia="宋体" w:hAnsi="Times New Roman"/>
          <w:color w:val="000000"/>
        </w:rPr>
      </w:pPr>
      <w:r w:rsidRPr="00AA0C63">
        <w:rPr>
          <w:rFonts w:ascii="宋体" w:eastAsia="宋体" w:hAnsi="Times New Roman" w:hint="eastAsia"/>
          <w:color w:val="000000"/>
        </w:rPr>
        <w:t>代表某</w:t>
      </w:r>
      <w:r w:rsidRPr="00AA0C63">
        <w:rPr>
          <w:rFonts w:ascii="宋体" w:eastAsia="宋体" w:hAnsi="Times New Roman"/>
          <w:color w:val="000000"/>
        </w:rPr>
        <w:t>A股上市半导体设备企业为其比利时投资项目提供法律服务</w:t>
      </w:r>
    </w:p>
    <w:p w14:paraId="73418181" w14:textId="77777777" w:rsidR="00AA0C63" w:rsidRDefault="00AA0C63" w:rsidP="00AA0C63">
      <w:pPr>
        <w:pStyle w:val="af5"/>
        <w:numPr>
          <w:ilvl w:val="0"/>
          <w:numId w:val="27"/>
        </w:numPr>
        <w:spacing w:before="120"/>
        <w:ind w:left="690" w:hanging="240"/>
        <w:rPr>
          <w:rFonts w:ascii="宋体" w:eastAsia="宋体" w:hAnsi="Times New Roman"/>
          <w:color w:val="000000"/>
        </w:rPr>
      </w:pPr>
      <w:r w:rsidRPr="00AA0C63">
        <w:rPr>
          <w:rFonts w:ascii="宋体" w:eastAsia="宋体" w:hAnsi="Times New Roman" w:hint="eastAsia"/>
          <w:color w:val="000000"/>
        </w:rPr>
        <w:t>代表某</w:t>
      </w:r>
      <w:r w:rsidRPr="00AA0C63">
        <w:rPr>
          <w:rFonts w:ascii="宋体" w:eastAsia="宋体" w:hAnsi="Times New Roman"/>
          <w:color w:val="000000"/>
        </w:rPr>
        <w:t>A股上市照明企业为其泰国绿地投资项目提供法律服务</w:t>
      </w:r>
    </w:p>
    <w:p w14:paraId="52A4BC3F" w14:textId="77777777" w:rsidR="00AA0C63" w:rsidRDefault="00AA0C63" w:rsidP="00AA0C63">
      <w:pPr>
        <w:pStyle w:val="af5"/>
        <w:numPr>
          <w:ilvl w:val="0"/>
          <w:numId w:val="28"/>
        </w:numPr>
        <w:spacing w:before="120"/>
        <w:ind w:left="690" w:hanging="240"/>
        <w:rPr>
          <w:rFonts w:ascii="宋体" w:eastAsia="宋体" w:hAnsi="Times New Roman"/>
          <w:color w:val="000000"/>
        </w:rPr>
      </w:pPr>
      <w:r w:rsidRPr="00AA0C63">
        <w:rPr>
          <w:rFonts w:ascii="宋体" w:eastAsia="宋体" w:hAnsi="Times New Roman" w:hint="eastAsia"/>
          <w:color w:val="000000"/>
        </w:rPr>
        <w:t>代表某</w:t>
      </w:r>
      <w:r w:rsidRPr="00AA0C63">
        <w:rPr>
          <w:rFonts w:ascii="宋体" w:eastAsia="宋体" w:hAnsi="Times New Roman"/>
          <w:color w:val="000000"/>
        </w:rPr>
        <w:t>A股上市汽车零部件企业为其泰国绿地投资项目提供法律服务</w:t>
      </w:r>
    </w:p>
    <w:p w14:paraId="74C2116B" w14:textId="77777777" w:rsidR="00AA0C63" w:rsidRDefault="00AA0C63" w:rsidP="00AA0C63">
      <w:pPr>
        <w:pStyle w:val="af5"/>
        <w:numPr>
          <w:ilvl w:val="0"/>
          <w:numId w:val="29"/>
        </w:numPr>
        <w:spacing w:before="120"/>
        <w:ind w:left="690" w:hanging="240"/>
        <w:rPr>
          <w:rFonts w:ascii="宋体" w:eastAsia="宋体" w:hAnsi="Times New Roman"/>
          <w:color w:val="000000"/>
        </w:rPr>
      </w:pPr>
      <w:r w:rsidRPr="00AA0C63">
        <w:rPr>
          <w:rFonts w:ascii="宋体" w:eastAsia="宋体" w:hAnsi="Times New Roman" w:hint="eastAsia"/>
          <w:color w:val="000000"/>
        </w:rPr>
        <w:t>代表浙江省某市级国资控股集团为其整体境外股权架构设计和搭建提供法律服务</w:t>
      </w:r>
    </w:p>
    <w:p w14:paraId="4A9E3F3F" w14:textId="77777777" w:rsidR="00AA0C63" w:rsidRDefault="00AA0C63" w:rsidP="00AA0C63">
      <w:pPr>
        <w:pStyle w:val="af5"/>
        <w:numPr>
          <w:ilvl w:val="0"/>
          <w:numId w:val="30"/>
        </w:numPr>
        <w:spacing w:before="120"/>
        <w:ind w:left="690" w:hanging="240"/>
        <w:rPr>
          <w:rFonts w:ascii="宋体" w:eastAsia="宋体" w:hAnsi="Times New Roman"/>
          <w:color w:val="000000"/>
        </w:rPr>
      </w:pPr>
      <w:r w:rsidRPr="00AA0C63">
        <w:rPr>
          <w:rFonts w:ascii="宋体" w:eastAsia="宋体" w:hAnsi="Times New Roman" w:hint="eastAsia"/>
          <w:color w:val="000000"/>
        </w:rPr>
        <w:t>代表某</w:t>
      </w:r>
      <w:r w:rsidRPr="00AA0C63">
        <w:rPr>
          <w:rFonts w:ascii="宋体" w:eastAsia="宋体" w:hAnsi="Times New Roman"/>
          <w:color w:val="000000"/>
        </w:rPr>
        <w:t>A股上市塑料管道制造企业为其越南绿地投资项目提供法律服务</w:t>
      </w:r>
    </w:p>
    <w:p w14:paraId="3CBDC006" w14:textId="77777777" w:rsidR="00AA0C63" w:rsidRDefault="00AA0C63" w:rsidP="00AA0C63">
      <w:pPr>
        <w:pStyle w:val="af5"/>
        <w:numPr>
          <w:ilvl w:val="0"/>
          <w:numId w:val="31"/>
        </w:numPr>
        <w:spacing w:before="120"/>
        <w:ind w:left="690" w:hanging="240"/>
        <w:rPr>
          <w:rFonts w:ascii="宋体" w:eastAsia="宋体" w:hAnsi="Times New Roman"/>
          <w:color w:val="000000"/>
        </w:rPr>
      </w:pPr>
      <w:r w:rsidRPr="00AA0C63">
        <w:rPr>
          <w:rFonts w:ascii="宋体" w:eastAsia="宋体" w:hAnsi="Times New Roman" w:hint="eastAsia"/>
          <w:color w:val="000000"/>
        </w:rPr>
        <w:t>代表某</w:t>
      </w:r>
      <w:r w:rsidRPr="00AA0C63">
        <w:rPr>
          <w:rFonts w:ascii="宋体" w:eastAsia="宋体" w:hAnsi="Times New Roman"/>
          <w:color w:val="000000"/>
        </w:rPr>
        <w:t>A股上市塑料餐饮具及生物降解材料生产企业为其印度尼西亚绿地投资项目提供法律服务</w:t>
      </w:r>
    </w:p>
    <w:p w14:paraId="4569D93E" w14:textId="77777777" w:rsidR="00AA0C63" w:rsidRDefault="00AA0C63" w:rsidP="00AA0C63">
      <w:pPr>
        <w:pStyle w:val="af5"/>
        <w:numPr>
          <w:ilvl w:val="0"/>
          <w:numId w:val="32"/>
        </w:numPr>
        <w:spacing w:before="120"/>
        <w:ind w:left="690" w:hanging="240"/>
        <w:rPr>
          <w:rFonts w:ascii="宋体" w:eastAsia="宋体" w:hAnsi="Times New Roman"/>
          <w:color w:val="000000"/>
        </w:rPr>
      </w:pPr>
      <w:r w:rsidRPr="00AA0C63">
        <w:rPr>
          <w:rFonts w:ascii="宋体" w:eastAsia="宋体" w:hAnsi="Times New Roman" w:hint="eastAsia"/>
          <w:color w:val="000000"/>
        </w:rPr>
        <w:t>代表国内某太阳能光伏企业为其德国投资项目提供法律服务</w:t>
      </w:r>
    </w:p>
    <w:p w14:paraId="6F256822" w14:textId="77777777" w:rsidR="00AA0C63" w:rsidRDefault="00AA0C63" w:rsidP="00AA0C63">
      <w:pPr>
        <w:pStyle w:val="af5"/>
        <w:numPr>
          <w:ilvl w:val="0"/>
          <w:numId w:val="33"/>
        </w:numPr>
        <w:spacing w:before="120"/>
        <w:ind w:left="690" w:hanging="240"/>
        <w:rPr>
          <w:rFonts w:ascii="宋体" w:eastAsia="宋体" w:hAnsi="Times New Roman"/>
          <w:color w:val="000000"/>
        </w:rPr>
      </w:pPr>
      <w:r w:rsidRPr="00AA0C63">
        <w:rPr>
          <w:rFonts w:ascii="宋体" w:eastAsia="宋体" w:hAnsi="Times New Roman" w:hint="eastAsia"/>
          <w:color w:val="000000"/>
        </w:rPr>
        <w:t>代表国内某机电企业为其柬埔寨绿地投资项目提供法律服务</w:t>
      </w:r>
    </w:p>
    <w:p w14:paraId="23045774" w14:textId="77777777" w:rsidR="00AA0C63" w:rsidRDefault="00AA0C63" w:rsidP="00AA0C63">
      <w:pPr>
        <w:pStyle w:val="af5"/>
        <w:spacing w:before="120"/>
        <w:rPr>
          <w:rFonts w:ascii="宋体" w:eastAsia="宋体" w:hAnsi="Times New Roman"/>
          <w:color w:val="000000"/>
        </w:rPr>
      </w:pPr>
      <w:r w:rsidRPr="00AA0C63">
        <w:rPr>
          <w:rFonts w:ascii="宋体" w:eastAsia="宋体" w:hAnsi="Times New Roman" w:hint="eastAsia"/>
          <w:color w:val="000000"/>
        </w:rPr>
        <w:t>合资及战略合作</w:t>
      </w:r>
    </w:p>
    <w:p w14:paraId="7372A642" w14:textId="77777777" w:rsidR="00AA0C63" w:rsidRDefault="00AA0C63" w:rsidP="00AA0C63">
      <w:pPr>
        <w:pStyle w:val="af5"/>
        <w:numPr>
          <w:ilvl w:val="0"/>
          <w:numId w:val="34"/>
        </w:numPr>
        <w:spacing w:before="120"/>
        <w:ind w:left="690" w:hanging="240"/>
        <w:rPr>
          <w:rFonts w:ascii="宋体" w:eastAsia="宋体" w:hAnsi="Times New Roman"/>
          <w:color w:val="000000"/>
        </w:rPr>
      </w:pPr>
      <w:r w:rsidRPr="00AA0C63">
        <w:rPr>
          <w:rFonts w:ascii="宋体" w:eastAsia="宋体" w:hAnsi="Times New Roman" w:hint="eastAsia"/>
          <w:color w:val="000000"/>
        </w:rPr>
        <w:t>代表蚂蚁金服与</w:t>
      </w:r>
      <w:r w:rsidRPr="00AA0C63">
        <w:rPr>
          <w:rFonts w:ascii="宋体" w:eastAsia="宋体" w:hAnsi="Times New Roman"/>
          <w:color w:val="000000"/>
        </w:rPr>
        <w:t>NBA中国开展与区块链技术、NFT以及隐私计算等有关的合作。</w:t>
      </w:r>
    </w:p>
    <w:p w14:paraId="1D73EB17" w14:textId="77777777" w:rsidR="00AA0C63" w:rsidRDefault="00AA0C63" w:rsidP="00AA0C63">
      <w:pPr>
        <w:pStyle w:val="af5"/>
        <w:spacing w:before="120"/>
        <w:rPr>
          <w:rFonts w:ascii="宋体" w:eastAsia="宋体" w:hAnsi="Times New Roman"/>
          <w:color w:val="000000"/>
        </w:rPr>
      </w:pPr>
      <w:r w:rsidRPr="00AA0C63">
        <w:rPr>
          <w:rFonts w:ascii="宋体" w:eastAsia="宋体" w:hAnsi="Times New Roman" w:hint="eastAsia"/>
          <w:color w:val="000000"/>
        </w:rPr>
        <w:t>资本市场领域</w:t>
      </w:r>
    </w:p>
    <w:p w14:paraId="333B5D92" w14:textId="77777777" w:rsidR="00AA0C63" w:rsidRDefault="00AA0C63" w:rsidP="00AA0C63">
      <w:pPr>
        <w:pStyle w:val="af5"/>
        <w:numPr>
          <w:ilvl w:val="0"/>
          <w:numId w:val="35"/>
        </w:numPr>
        <w:spacing w:before="120"/>
        <w:ind w:left="690" w:hanging="240"/>
        <w:rPr>
          <w:rFonts w:ascii="宋体" w:eastAsia="宋体" w:hAnsi="Times New Roman"/>
          <w:color w:val="000000"/>
        </w:rPr>
      </w:pPr>
      <w:r w:rsidRPr="00AA0C63">
        <w:rPr>
          <w:rFonts w:ascii="宋体" w:eastAsia="宋体" w:hAnsi="Times New Roman" w:hint="eastAsia"/>
          <w:color w:val="000000"/>
        </w:rPr>
        <w:t>协助万达体育在纳斯达克首次公开募股、进行上市前重组以及债务融资交易</w:t>
      </w:r>
    </w:p>
    <w:p w14:paraId="1B25A548"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教育背景</w:t>
      </w:r>
    </w:p>
    <w:p w14:paraId="7BF33470" w14:textId="77777777" w:rsidR="00AA0C63" w:rsidRDefault="00AA0C63" w:rsidP="00AA0C63">
      <w:pPr>
        <w:pStyle w:val="af5"/>
        <w:numPr>
          <w:ilvl w:val="0"/>
          <w:numId w:val="36"/>
        </w:numPr>
        <w:spacing w:before="120"/>
        <w:ind w:left="690" w:hanging="240"/>
        <w:rPr>
          <w:rFonts w:ascii="宋体" w:eastAsia="宋体" w:hAnsi="Times New Roman"/>
          <w:color w:val="000000"/>
        </w:rPr>
      </w:pPr>
      <w:r w:rsidRPr="00AA0C63">
        <w:rPr>
          <w:rFonts w:ascii="宋体" w:eastAsia="宋体" w:hAnsi="Times New Roman" w:hint="eastAsia"/>
          <w:color w:val="000000"/>
        </w:rPr>
        <w:t>美国佐治亚大学，法律博士（</w:t>
      </w:r>
      <w:r w:rsidRPr="00AA0C63">
        <w:rPr>
          <w:rFonts w:ascii="宋体" w:eastAsia="宋体" w:hAnsi="Times New Roman"/>
          <w:color w:val="000000"/>
        </w:rPr>
        <w:t>Juris Doctor）</w:t>
      </w:r>
    </w:p>
    <w:p w14:paraId="40623BF4" w14:textId="77777777" w:rsidR="00AA0C63" w:rsidRDefault="00AA0C63" w:rsidP="00AA0C63">
      <w:pPr>
        <w:pStyle w:val="af5"/>
        <w:numPr>
          <w:ilvl w:val="0"/>
          <w:numId w:val="37"/>
        </w:numPr>
        <w:spacing w:before="120"/>
        <w:ind w:left="690" w:hanging="240"/>
        <w:rPr>
          <w:rFonts w:ascii="宋体" w:eastAsia="宋体" w:hAnsi="Times New Roman"/>
          <w:color w:val="000000"/>
        </w:rPr>
      </w:pPr>
      <w:r w:rsidRPr="00AA0C63">
        <w:rPr>
          <w:rFonts w:ascii="宋体" w:eastAsia="宋体" w:hAnsi="Times New Roman" w:hint="eastAsia"/>
          <w:color w:val="000000"/>
        </w:rPr>
        <w:t>华东政法大学</w:t>
      </w:r>
      <w:r w:rsidRPr="00AA0C63">
        <w:rPr>
          <w:rFonts w:ascii="宋体" w:eastAsia="宋体" w:hAnsi="Times New Roman"/>
          <w:color w:val="000000"/>
        </w:rPr>
        <w:t xml:space="preserve"> ，法学学士</w:t>
      </w:r>
    </w:p>
    <w:p w14:paraId="411BF3A0"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执业资格</w:t>
      </w:r>
    </w:p>
    <w:p w14:paraId="2AECBAEE" w14:textId="77777777" w:rsidR="00AA0C63" w:rsidRDefault="00AA0C63" w:rsidP="00AA0C63">
      <w:pPr>
        <w:pStyle w:val="af5"/>
        <w:numPr>
          <w:ilvl w:val="0"/>
          <w:numId w:val="38"/>
        </w:numPr>
        <w:spacing w:before="120"/>
        <w:ind w:left="690" w:hanging="240"/>
        <w:rPr>
          <w:rFonts w:ascii="宋体" w:eastAsia="宋体" w:hAnsi="Times New Roman"/>
          <w:color w:val="000000"/>
        </w:rPr>
      </w:pPr>
      <w:r w:rsidRPr="00AA0C63">
        <w:rPr>
          <w:rFonts w:ascii="宋体" w:eastAsia="宋体" w:hAnsi="Times New Roman" w:hint="eastAsia"/>
          <w:color w:val="000000"/>
        </w:rPr>
        <w:t>美国纽约州律师资格</w:t>
      </w:r>
    </w:p>
    <w:p w14:paraId="197487FC" w14:textId="77777777" w:rsidR="00AA0C63" w:rsidRDefault="00AA0C63" w:rsidP="00AA0C63">
      <w:pPr>
        <w:pStyle w:val="af5"/>
        <w:numPr>
          <w:ilvl w:val="0"/>
          <w:numId w:val="39"/>
        </w:numPr>
        <w:spacing w:before="120"/>
        <w:ind w:left="690" w:hanging="240"/>
        <w:rPr>
          <w:rFonts w:ascii="宋体" w:eastAsia="宋体" w:hAnsi="Times New Roman"/>
          <w:color w:val="000000"/>
        </w:rPr>
      </w:pPr>
      <w:r w:rsidRPr="00AA0C63">
        <w:rPr>
          <w:rFonts w:ascii="宋体" w:eastAsia="宋体" w:hAnsi="Times New Roman" w:hint="eastAsia"/>
          <w:color w:val="000000"/>
        </w:rPr>
        <w:t>美国新泽西州律师资格</w:t>
      </w:r>
    </w:p>
    <w:p w14:paraId="04AE7ED3" w14:textId="77777777" w:rsidR="00AA0C63" w:rsidRDefault="00AA0C63" w:rsidP="00AA0C63">
      <w:pPr>
        <w:pStyle w:val="af5"/>
        <w:numPr>
          <w:ilvl w:val="0"/>
          <w:numId w:val="40"/>
        </w:numPr>
        <w:spacing w:before="120"/>
        <w:ind w:left="690" w:hanging="240"/>
        <w:rPr>
          <w:rFonts w:ascii="宋体" w:eastAsia="宋体" w:hAnsi="Times New Roman"/>
          <w:color w:val="000000"/>
        </w:rPr>
      </w:pPr>
      <w:r w:rsidRPr="00AA0C63">
        <w:rPr>
          <w:rFonts w:ascii="宋体" w:eastAsia="宋体" w:hAnsi="Times New Roman" w:hint="eastAsia"/>
          <w:color w:val="000000"/>
        </w:rPr>
        <w:t>美国佐治亚州律师资格（非执业）</w:t>
      </w:r>
    </w:p>
    <w:p w14:paraId="336160A2" w14:textId="77777777" w:rsidR="00AA0C63" w:rsidRDefault="00AA0C63" w:rsidP="00AA0C63">
      <w:pPr>
        <w:pStyle w:val="af5"/>
        <w:numPr>
          <w:ilvl w:val="0"/>
          <w:numId w:val="41"/>
        </w:numPr>
        <w:spacing w:before="120"/>
        <w:ind w:left="690" w:hanging="240"/>
        <w:rPr>
          <w:rFonts w:ascii="宋体" w:eastAsia="宋体" w:hAnsi="Times New Roman"/>
          <w:color w:val="000000"/>
        </w:rPr>
      </w:pPr>
      <w:r w:rsidRPr="00AA0C63">
        <w:rPr>
          <w:rFonts w:ascii="宋体" w:eastAsia="宋体" w:hAnsi="Times New Roman" w:hint="eastAsia"/>
          <w:color w:val="000000"/>
        </w:rPr>
        <w:t>香港特别行政区注册外地律师</w:t>
      </w:r>
    </w:p>
    <w:p w14:paraId="4F3A8601"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工作语言</w:t>
      </w:r>
    </w:p>
    <w:p w14:paraId="75668776" w14:textId="77777777" w:rsidR="00AA0C63" w:rsidRDefault="00AA0C63" w:rsidP="00AA0C63">
      <w:pPr>
        <w:pStyle w:val="af5"/>
        <w:numPr>
          <w:ilvl w:val="0"/>
          <w:numId w:val="42"/>
        </w:numPr>
        <w:spacing w:before="120"/>
        <w:ind w:left="690" w:hanging="240"/>
        <w:rPr>
          <w:rFonts w:ascii="宋体" w:eastAsia="宋体" w:hAnsi="Times New Roman"/>
          <w:color w:val="000000"/>
        </w:rPr>
      </w:pPr>
      <w:r w:rsidRPr="00AA0C63">
        <w:rPr>
          <w:rFonts w:ascii="宋体" w:eastAsia="宋体" w:hAnsi="Times New Roman" w:hint="eastAsia"/>
          <w:color w:val="000000"/>
        </w:rPr>
        <w:t>英文</w:t>
      </w:r>
    </w:p>
    <w:p w14:paraId="05819BEB" w14:textId="77777777" w:rsidR="00AA0C63" w:rsidRDefault="00AA0C63" w:rsidP="00AA0C63">
      <w:pPr>
        <w:pStyle w:val="af5"/>
        <w:numPr>
          <w:ilvl w:val="0"/>
          <w:numId w:val="43"/>
        </w:numPr>
        <w:spacing w:before="120"/>
        <w:ind w:left="690" w:hanging="240"/>
        <w:rPr>
          <w:rFonts w:ascii="宋体" w:eastAsia="宋体" w:hAnsi="Times New Roman"/>
          <w:color w:val="000000"/>
        </w:rPr>
      </w:pPr>
      <w:r w:rsidRPr="00AA0C63">
        <w:rPr>
          <w:rFonts w:ascii="宋体" w:eastAsia="宋体" w:hAnsi="Times New Roman" w:hint="eastAsia"/>
          <w:color w:val="000000"/>
        </w:rPr>
        <w:t>中文</w:t>
      </w:r>
    </w:p>
    <w:p w14:paraId="62CD13B6"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职业背景</w:t>
      </w:r>
    </w:p>
    <w:p w14:paraId="5F771F42" w14:textId="77777777" w:rsidR="00AA0C63" w:rsidRDefault="00AA0C63" w:rsidP="00AA0C63">
      <w:pPr>
        <w:pStyle w:val="af5"/>
        <w:numPr>
          <w:ilvl w:val="0"/>
          <w:numId w:val="44"/>
        </w:numPr>
        <w:spacing w:before="120"/>
        <w:ind w:left="690" w:hanging="240"/>
        <w:rPr>
          <w:rFonts w:ascii="宋体" w:eastAsia="宋体" w:hAnsi="Times New Roman"/>
          <w:color w:val="000000"/>
        </w:rPr>
      </w:pPr>
      <w:r w:rsidRPr="00AA0C63">
        <w:rPr>
          <w:rFonts w:ascii="宋体" w:eastAsia="宋体" w:hAnsi="Times New Roman" w:hint="eastAsia"/>
          <w:color w:val="000000"/>
        </w:rPr>
        <w:t>在加入方达律师事务所之前，卜睿律师曾先后任职于美国温斯顿律师事务所（</w:t>
      </w:r>
      <w:r w:rsidRPr="00AA0C63">
        <w:rPr>
          <w:rFonts w:ascii="宋体" w:eastAsia="宋体" w:hAnsi="Times New Roman"/>
          <w:color w:val="000000"/>
        </w:rPr>
        <w:t>Winston  Strawn）的上海办公室，以及英国欧华律师事务所（DLA Piper）和美国宝维斯律师事务所（Paul Weiss）的北京办公室。卜律师亦曾在美国金斯波尔德律师事务所（King  Spalding）的美国亚特兰大办公室工作过。</w:t>
      </w:r>
    </w:p>
    <w:p w14:paraId="170A2360" w14:textId="77777777" w:rsidR="00AA0C63" w:rsidRDefault="00AA0C63" w:rsidP="00AA0C63">
      <w:pPr>
        <w:pStyle w:val="af5"/>
        <w:numPr>
          <w:ilvl w:val="0"/>
          <w:numId w:val="45"/>
        </w:numPr>
        <w:spacing w:before="120"/>
        <w:ind w:left="690" w:hanging="240"/>
        <w:rPr>
          <w:rFonts w:ascii="宋体" w:eastAsia="宋体" w:hAnsi="Times New Roman"/>
          <w:color w:val="000000"/>
        </w:rPr>
      </w:pPr>
      <w:r w:rsidRPr="00AA0C63">
        <w:rPr>
          <w:rFonts w:ascii="宋体" w:eastAsia="宋体" w:hAnsi="Times New Roman" w:hint="eastAsia"/>
          <w:color w:val="000000"/>
        </w:rPr>
        <w:t>卜睿律师在</w:t>
      </w:r>
      <w:r w:rsidRPr="00AA0C63">
        <w:rPr>
          <w:rFonts w:ascii="宋体" w:eastAsia="宋体" w:hAnsi="Times New Roman"/>
          <w:color w:val="000000"/>
        </w:rPr>
        <w:t>2025年被LegalOne评为2025年度客户信赖律师15强：企业出海。</w:t>
      </w:r>
    </w:p>
    <w:p w14:paraId="2C0C281B" w14:textId="77777777" w:rsidR="00AA0C63" w:rsidRDefault="00AA0C63" w:rsidP="00AA0C63">
      <w:pPr>
        <w:pStyle w:val="af5"/>
        <w:numPr>
          <w:ilvl w:val="0"/>
          <w:numId w:val="46"/>
        </w:numPr>
        <w:spacing w:before="120"/>
        <w:ind w:left="690" w:hanging="240"/>
        <w:rPr>
          <w:rFonts w:ascii="宋体" w:eastAsia="宋体" w:hAnsi="Times New Roman"/>
          <w:color w:val="000000"/>
        </w:rPr>
      </w:pPr>
      <w:r w:rsidRPr="00AA0C63">
        <w:rPr>
          <w:rFonts w:ascii="宋体" w:eastAsia="宋体" w:hAnsi="Times New Roman" w:hint="eastAsia"/>
          <w:color w:val="000000"/>
        </w:rPr>
        <w:t>卜睿律师在</w:t>
      </w:r>
      <w:r w:rsidRPr="00AA0C63">
        <w:rPr>
          <w:rFonts w:ascii="宋体" w:eastAsia="宋体" w:hAnsi="Times New Roman"/>
          <w:color w:val="000000"/>
        </w:rPr>
        <w:t>2025年被《国际金融法律评论》(IFLR 1000)评为新星合伙人（Rising Star Partner）。</w:t>
      </w:r>
    </w:p>
    <w:p w14:paraId="30F8DAF0" w14:textId="77777777" w:rsidR="00AA0C63" w:rsidRDefault="00AA0C63" w:rsidP="00AA0C63">
      <w:pPr>
        <w:pStyle w:val="af5"/>
        <w:numPr>
          <w:ilvl w:val="0"/>
          <w:numId w:val="47"/>
        </w:numPr>
        <w:spacing w:before="120"/>
        <w:ind w:left="690" w:hanging="240"/>
        <w:rPr>
          <w:rFonts w:ascii="宋体" w:eastAsia="宋体" w:hAnsi="Times New Roman"/>
          <w:color w:val="000000"/>
        </w:rPr>
      </w:pPr>
      <w:r w:rsidRPr="00AA0C63">
        <w:rPr>
          <w:rFonts w:ascii="宋体" w:eastAsia="宋体" w:hAnsi="Times New Roman" w:hint="eastAsia"/>
          <w:color w:val="000000"/>
        </w:rPr>
        <w:t>卜睿律师曾多次接受《</w:t>
      </w:r>
      <w:r w:rsidRPr="00AA0C63">
        <w:rPr>
          <w:rFonts w:ascii="宋体" w:eastAsia="宋体" w:hAnsi="Times New Roman"/>
          <w:color w:val="000000"/>
        </w:rPr>
        <w:t>36氪》《21世纪经济报道》《财经杂志》《霞光社》等媒体采访。</w:t>
      </w:r>
    </w:p>
    <w:p w14:paraId="48B61174"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其他信息</w:t>
      </w:r>
    </w:p>
    <w:p w14:paraId="3DFC615F" w14:textId="77777777" w:rsidR="00AA0C63" w:rsidRDefault="00AA0C63" w:rsidP="00AA0C63">
      <w:pPr>
        <w:pStyle w:val="af5"/>
        <w:spacing w:after="0" w:line="480" w:lineRule="auto"/>
        <w:rPr>
          <w:rFonts w:ascii="宋体" w:eastAsia="宋体" w:hAnsi="宋体"/>
          <w:b/>
          <w:sz w:val="24"/>
        </w:rPr>
      </w:pPr>
      <w:r w:rsidRPr="00AA0C63">
        <w:rPr>
          <w:rFonts w:ascii="宋体" w:eastAsia="宋体" w:hAnsi="宋体" w:hint="eastAsia"/>
          <w:b/>
          <w:sz w:val="24"/>
        </w:rPr>
        <w:t>出版物</w:t>
      </w:r>
    </w:p>
    <w:p w14:paraId="7EBF5618" w14:textId="77777777" w:rsidR="00AA0C63" w:rsidRDefault="00AA0C63" w:rsidP="00AA0C63">
      <w:pPr>
        <w:pStyle w:val="af5"/>
        <w:numPr>
          <w:ilvl w:val="0"/>
          <w:numId w:val="48"/>
        </w:numPr>
        <w:spacing w:before="120"/>
        <w:ind w:left="690" w:hanging="240"/>
        <w:rPr>
          <w:rFonts w:ascii="宋体" w:eastAsia="宋体" w:hAnsi="Times New Roman"/>
          <w:color w:val="000000"/>
        </w:rPr>
      </w:pPr>
      <w:r w:rsidRPr="00AA0C63">
        <w:rPr>
          <w:rFonts w:ascii="宋体" w:eastAsia="宋体" w:hAnsi="Times New Roman"/>
          <w:color w:val="000000"/>
        </w:rPr>
        <w:t xml:space="preserve">2014年在宾夕法尼亚大学法学院《东亚法学期刊》发表《划时代的变革：上海自贸区新仲裁准则之紧急仲裁员和开放仲裁员名单制度》（http://scholarship.law.upenn.edu/ealr/vol10/iss1/3） </w:t>
      </w:r>
    </w:p>
    <w:p w14:paraId="4F0A196B" w14:textId="596E573C" w:rsidR="00A46A04" w:rsidRPr="00AA0C63" w:rsidRDefault="00AA0C63" w:rsidP="00AA0C63">
      <w:pPr>
        <w:pStyle w:val="af5"/>
        <w:numPr>
          <w:ilvl w:val="0"/>
          <w:numId w:val="49"/>
        </w:numPr>
        <w:spacing w:before="120"/>
        <w:ind w:left="690" w:hanging="240"/>
        <w:rPr>
          <w:rFonts w:ascii="宋体" w:eastAsia="宋体" w:hAnsi="Times New Roman"/>
          <w:color w:val="000000"/>
        </w:rPr>
      </w:pPr>
      <w:r w:rsidRPr="00AA0C63">
        <w:rPr>
          <w:rFonts w:ascii="宋体" w:eastAsia="宋体" w:hAnsi="Times New Roman"/>
          <w:color w:val="000000"/>
        </w:rPr>
        <w:t xml:space="preserve">2016年在明尼苏达大学法学院《法律、科学和技术期刊》发表《州立阿兹海默症患者登记系统的最佳实践：来自佐治亚州的经验》（http://ssrn.com/abstract=2592461） </w:t>
      </w:r>
    </w:p>
    <w:sectPr w:rsidR="00A46A04" w:rsidRPr="00AA0C6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914"/>
    <w:multiLevelType w:val="singleLevel"/>
    <w:tmpl w:val="BF3293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72C72"/>
    <w:multiLevelType w:val="singleLevel"/>
    <w:tmpl w:val="6658BF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85F0B"/>
    <w:multiLevelType w:val="singleLevel"/>
    <w:tmpl w:val="AA32F4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FD04C8"/>
    <w:multiLevelType w:val="singleLevel"/>
    <w:tmpl w:val="743212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C21CF"/>
    <w:multiLevelType w:val="singleLevel"/>
    <w:tmpl w:val="3B7A3E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9771B2"/>
    <w:multiLevelType w:val="singleLevel"/>
    <w:tmpl w:val="A0A67C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C83276"/>
    <w:multiLevelType w:val="singleLevel"/>
    <w:tmpl w:val="B3FC39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471C53"/>
    <w:multiLevelType w:val="singleLevel"/>
    <w:tmpl w:val="9AD099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545694"/>
    <w:multiLevelType w:val="singleLevel"/>
    <w:tmpl w:val="E9EA76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89310E"/>
    <w:multiLevelType w:val="singleLevel"/>
    <w:tmpl w:val="BF9C48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502B97"/>
    <w:multiLevelType w:val="singleLevel"/>
    <w:tmpl w:val="7E5C29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690640"/>
    <w:multiLevelType w:val="singleLevel"/>
    <w:tmpl w:val="B478D4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24175B"/>
    <w:multiLevelType w:val="singleLevel"/>
    <w:tmpl w:val="5896FB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5945D2"/>
    <w:multiLevelType w:val="singleLevel"/>
    <w:tmpl w:val="AEBCE1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28665C"/>
    <w:multiLevelType w:val="singleLevel"/>
    <w:tmpl w:val="B4AA91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5D73B9"/>
    <w:multiLevelType w:val="singleLevel"/>
    <w:tmpl w:val="30EAD1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EE6F87"/>
    <w:multiLevelType w:val="singleLevel"/>
    <w:tmpl w:val="443C13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F051BE"/>
    <w:multiLevelType w:val="singleLevel"/>
    <w:tmpl w:val="1E202A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F53B07"/>
    <w:multiLevelType w:val="singleLevel"/>
    <w:tmpl w:val="D402FD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000493"/>
    <w:multiLevelType w:val="singleLevel"/>
    <w:tmpl w:val="1FCAF8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6506C9"/>
    <w:multiLevelType w:val="singleLevel"/>
    <w:tmpl w:val="E9B6A3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966A90"/>
    <w:multiLevelType w:val="singleLevel"/>
    <w:tmpl w:val="BED69E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380A57"/>
    <w:multiLevelType w:val="singleLevel"/>
    <w:tmpl w:val="EF066D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AC1F38"/>
    <w:multiLevelType w:val="singleLevel"/>
    <w:tmpl w:val="6B9807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283232"/>
    <w:multiLevelType w:val="singleLevel"/>
    <w:tmpl w:val="EA821C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5437CC"/>
    <w:multiLevelType w:val="singleLevel"/>
    <w:tmpl w:val="8892E9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6F2153"/>
    <w:multiLevelType w:val="singleLevel"/>
    <w:tmpl w:val="2258F6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C62EF4"/>
    <w:multiLevelType w:val="singleLevel"/>
    <w:tmpl w:val="FA7E42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AF3367"/>
    <w:multiLevelType w:val="singleLevel"/>
    <w:tmpl w:val="2F10E9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EB4883"/>
    <w:multiLevelType w:val="singleLevel"/>
    <w:tmpl w:val="C27A4C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8F1F68"/>
    <w:multiLevelType w:val="singleLevel"/>
    <w:tmpl w:val="D4FC4B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652E6C"/>
    <w:multiLevelType w:val="singleLevel"/>
    <w:tmpl w:val="F22895A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CE66BA"/>
    <w:multiLevelType w:val="singleLevel"/>
    <w:tmpl w:val="73A613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097A1D"/>
    <w:multiLevelType w:val="singleLevel"/>
    <w:tmpl w:val="A89883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E874B7"/>
    <w:multiLevelType w:val="singleLevel"/>
    <w:tmpl w:val="15EC403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2E68AE"/>
    <w:multiLevelType w:val="singleLevel"/>
    <w:tmpl w:val="AF18CA8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DB6702"/>
    <w:multiLevelType w:val="singleLevel"/>
    <w:tmpl w:val="FDE833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8E2856"/>
    <w:multiLevelType w:val="singleLevel"/>
    <w:tmpl w:val="F22895A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097291"/>
    <w:multiLevelType w:val="singleLevel"/>
    <w:tmpl w:val="8E1EBD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1E2AC9"/>
    <w:multiLevelType w:val="singleLevel"/>
    <w:tmpl w:val="0E0C2A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9C038B"/>
    <w:multiLevelType w:val="singleLevel"/>
    <w:tmpl w:val="244601B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9A3137"/>
    <w:multiLevelType w:val="singleLevel"/>
    <w:tmpl w:val="FC0E3C6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AF54F1"/>
    <w:multiLevelType w:val="singleLevel"/>
    <w:tmpl w:val="EE0276F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8460D5"/>
    <w:multiLevelType w:val="singleLevel"/>
    <w:tmpl w:val="E012CC6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F01A8B"/>
    <w:multiLevelType w:val="singleLevel"/>
    <w:tmpl w:val="4BF209E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0818DD"/>
    <w:multiLevelType w:val="singleLevel"/>
    <w:tmpl w:val="80CC91D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4E5B3A"/>
    <w:multiLevelType w:val="singleLevel"/>
    <w:tmpl w:val="5D8AD68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4"/>
  </w:num>
  <w:num w:numId="3">
    <w:abstractNumId w:val="25"/>
  </w:num>
  <w:num w:numId="4">
    <w:abstractNumId w:val="48"/>
  </w:num>
  <w:num w:numId="5">
    <w:abstractNumId w:val="4"/>
  </w:num>
  <w:num w:numId="6">
    <w:abstractNumId w:val="6"/>
  </w:num>
  <w:num w:numId="7">
    <w:abstractNumId w:val="32"/>
  </w:num>
  <w:num w:numId="8">
    <w:abstractNumId w:val="26"/>
  </w:num>
  <w:num w:numId="9">
    <w:abstractNumId w:val="42"/>
  </w:num>
  <w:num w:numId="10">
    <w:abstractNumId w:val="27"/>
  </w:num>
  <w:num w:numId="11">
    <w:abstractNumId w:val="13"/>
  </w:num>
  <w:num w:numId="12">
    <w:abstractNumId w:val="28"/>
  </w:num>
  <w:num w:numId="13">
    <w:abstractNumId w:val="3"/>
  </w:num>
  <w:num w:numId="14">
    <w:abstractNumId w:val="15"/>
  </w:num>
  <w:num w:numId="15">
    <w:abstractNumId w:val="46"/>
  </w:num>
  <w:num w:numId="16">
    <w:abstractNumId w:val="10"/>
  </w:num>
  <w:num w:numId="17">
    <w:abstractNumId w:val="41"/>
  </w:num>
  <w:num w:numId="18">
    <w:abstractNumId w:val="43"/>
  </w:num>
  <w:num w:numId="19">
    <w:abstractNumId w:val="5"/>
  </w:num>
  <w:num w:numId="20">
    <w:abstractNumId w:val="35"/>
  </w:num>
  <w:num w:numId="21">
    <w:abstractNumId w:val="21"/>
  </w:num>
  <w:num w:numId="22">
    <w:abstractNumId w:val="1"/>
  </w:num>
  <w:num w:numId="23">
    <w:abstractNumId w:val="9"/>
  </w:num>
  <w:num w:numId="24">
    <w:abstractNumId w:val="44"/>
  </w:num>
  <w:num w:numId="25">
    <w:abstractNumId w:val="11"/>
  </w:num>
  <w:num w:numId="26">
    <w:abstractNumId w:val="14"/>
  </w:num>
  <w:num w:numId="27">
    <w:abstractNumId w:val="17"/>
  </w:num>
  <w:num w:numId="28">
    <w:abstractNumId w:val="36"/>
  </w:num>
  <w:num w:numId="29">
    <w:abstractNumId w:val="45"/>
  </w:num>
  <w:num w:numId="30">
    <w:abstractNumId w:val="12"/>
  </w:num>
  <w:num w:numId="31">
    <w:abstractNumId w:val="38"/>
  </w:num>
  <w:num w:numId="32">
    <w:abstractNumId w:val="40"/>
  </w:num>
  <w:num w:numId="33">
    <w:abstractNumId w:val="2"/>
  </w:num>
  <w:num w:numId="34">
    <w:abstractNumId w:val="31"/>
  </w:num>
  <w:num w:numId="35">
    <w:abstractNumId w:val="23"/>
  </w:num>
  <w:num w:numId="36">
    <w:abstractNumId w:val="18"/>
  </w:num>
  <w:num w:numId="37">
    <w:abstractNumId w:val="29"/>
  </w:num>
  <w:num w:numId="38">
    <w:abstractNumId w:val="19"/>
  </w:num>
  <w:num w:numId="39">
    <w:abstractNumId w:val="34"/>
  </w:num>
  <w:num w:numId="40">
    <w:abstractNumId w:val="20"/>
  </w:num>
  <w:num w:numId="41">
    <w:abstractNumId w:val="47"/>
  </w:num>
  <w:num w:numId="42">
    <w:abstractNumId w:val="30"/>
  </w:num>
  <w:num w:numId="43">
    <w:abstractNumId w:val="0"/>
  </w:num>
  <w:num w:numId="44">
    <w:abstractNumId w:val="22"/>
  </w:num>
  <w:num w:numId="45">
    <w:abstractNumId w:val="37"/>
  </w:num>
  <w:num w:numId="46">
    <w:abstractNumId w:val="7"/>
  </w:num>
  <w:num w:numId="47">
    <w:abstractNumId w:val="8"/>
  </w:num>
  <w:num w:numId="48">
    <w:abstractNumId w:val="33"/>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A0C63"/>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0C63"/>
    <w:pPr>
      <w:spacing w:after="120"/>
    </w:pPr>
  </w:style>
  <w:style w:type="character" w:customStyle="1" w:styleId="af6">
    <w:name w:val="正文文本 字符"/>
    <w:basedOn w:val="a0"/>
    <w:link w:val="af5"/>
    <w:uiPriority w:val="99"/>
    <w:rsid w:val="00AA0C6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06515-96AD-47FF-9921-82322FA52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