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4AC5B1B" w:rsidR="0049405C" w:rsidRPr="00187BAA" w:rsidRDefault="009A031E" w:rsidP="009A031E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9A031E">
              <w:rPr>
                <w:rFonts w:ascii="宋体" w:eastAsia="宋体" w:hAnsi="Times New Roman" w:hint="eastAsia"/>
                <w:b/>
                <w:color w:val="000000"/>
                <w:sz w:val="48"/>
              </w:rPr>
              <w:t>李燕萍</w:t>
            </w:r>
            <w:bookmarkEnd w:id="0"/>
          </w:p>
          <w:p w14:paraId="706EB16B" w14:textId="632FC79D" w:rsidR="0049405C" w:rsidRPr="00187BAA" w:rsidRDefault="009A031E" w:rsidP="009A031E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9A031E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资深律师·深圳</w:t>
            </w:r>
            <w:bookmarkEnd w:id="2"/>
          </w:p>
          <w:p w14:paraId="6199424A" w14:textId="3B09C3B4" w:rsidR="0049405C" w:rsidRPr="00187BAA" w:rsidRDefault="009A031E" w:rsidP="009A031E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9A031E">
              <w:rPr>
                <w:rFonts w:ascii="宋体" w:eastAsia="宋体" w:hAnsi="Times New Roman"/>
                <w:color w:val="000000"/>
              </w:rPr>
              <w:t xml:space="preserve">+86 755 8159 3929 </w:t>
            </w:r>
            <w:bookmarkEnd w:id="3"/>
          </w:p>
          <w:p w14:paraId="4F910ACA" w14:textId="00A598ED" w:rsidR="0049405C" w:rsidRPr="00187BAA" w:rsidRDefault="009A031E" w:rsidP="009A031E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9A031E">
              <w:rPr>
                <w:rFonts w:ascii="宋体" w:eastAsia="宋体" w:hAnsi="Times New Roman"/>
                <w:color w:val="000000"/>
              </w:rPr>
              <w:t>yanping.li@fangdalaw.com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28A5BB6" w:rsidR="0049405C" w:rsidRPr="00187BAA" w:rsidRDefault="009A031E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0ED3566" wp14:editId="4365527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4E103775" w:rsidR="009465FB" w:rsidRPr="00187BAA" w:rsidRDefault="009A031E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9A031E">
              <w:rPr>
                <w:rFonts w:ascii="宋体" w:eastAsia="宋体" w:hAnsi="Times New Roman" w:hint="eastAsia"/>
                <w:color w:val="000000"/>
                <w:szCs w:val="21"/>
              </w:rPr>
              <w:t>李燕萍律师专注于私募股权投融资、并购、合资、重组、投资基金和一般性公司法律事务。她参与众多境内及涉外股权交易，服务的客户涵盖科技公司、投资机构、跨国企业及上市公司，并与客户保持长期深度合作。</w:t>
            </w:r>
            <w:r w:rsidRPr="009A031E">
              <w:rPr>
                <w:rFonts w:ascii="宋体" w:eastAsia="宋体" w:hAnsi="Times New Roman"/>
                <w:color w:val="000000"/>
                <w:szCs w:val="21"/>
              </w:rPr>
              <w:t xml:space="preserve"> 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EA7338D" w14:textId="77777777" w:rsidR="009A031E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2BA8953" w14:textId="77777777" w:rsidR="009A031E" w:rsidRDefault="009A031E" w:rsidP="009A031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A031E">
        <w:rPr>
          <w:rFonts w:ascii="宋体" w:eastAsia="宋体" w:hAnsi="宋体" w:hint="eastAsia"/>
          <w:b/>
          <w:sz w:val="24"/>
        </w:rPr>
        <w:t>近期代理的主要案件</w:t>
      </w:r>
    </w:p>
    <w:p w14:paraId="7876A8A0" w14:textId="77777777" w:rsidR="009A031E" w:rsidRDefault="009A031E" w:rsidP="009A031E">
      <w:pPr>
        <w:pStyle w:val="af5"/>
        <w:spacing w:before="12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投融资交易</w:t>
      </w:r>
    </w:p>
    <w:p w14:paraId="20D3A392" w14:textId="77777777" w:rsidR="009A031E" w:rsidRDefault="009A031E" w:rsidP="009A031E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代表视涯科技（</w:t>
      </w:r>
      <w:r w:rsidRPr="009A031E">
        <w:rPr>
          <w:rFonts w:ascii="宋体" w:eastAsia="宋体" w:hAnsi="Times New Roman"/>
          <w:color w:val="000000"/>
        </w:rPr>
        <w:t>688781.SH），完成自设立至上市前所有轮次、逾24亿元的股权融资</w:t>
      </w:r>
    </w:p>
    <w:p w14:paraId="5458AB4C" w14:textId="77777777" w:rsidR="009A031E" w:rsidRDefault="009A031E" w:rsidP="009A031E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代表视涯科技（</w:t>
      </w:r>
      <w:r w:rsidRPr="009A031E">
        <w:rPr>
          <w:rFonts w:ascii="宋体" w:eastAsia="宋体" w:hAnsi="Times New Roman"/>
          <w:color w:val="000000"/>
        </w:rPr>
        <w:t>688781.SH），完成股权重组、股份制改造、战略投资、及重大业务合作</w:t>
      </w:r>
    </w:p>
    <w:p w14:paraId="7C89FFD8" w14:textId="77777777" w:rsidR="009A031E" w:rsidRDefault="009A031E" w:rsidP="009A031E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代表国际半导体龙头</w:t>
      </w:r>
      <w:r w:rsidRPr="009A031E">
        <w:rPr>
          <w:rFonts w:ascii="宋体" w:eastAsia="宋体" w:hAnsi="Times New Roman"/>
          <w:color w:val="000000"/>
        </w:rPr>
        <w:t>ASMPT Limited（0522.HK），重组其半导体解决方案业务，并设立奥芯明半导体设备技术（上海）有限公司</w:t>
      </w:r>
    </w:p>
    <w:p w14:paraId="5AE624AB" w14:textId="77777777" w:rsidR="009A031E" w:rsidRDefault="009A031E" w:rsidP="009A031E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</w:t>
      </w:r>
      <w:r w:rsidRPr="009A031E">
        <w:rPr>
          <w:rFonts w:ascii="宋体" w:eastAsia="宋体" w:hAnsi="Times New Roman"/>
          <w:color w:val="000000"/>
        </w:rPr>
        <w:t>ASMPT Limited（0522.HK），与智路资本合资设立晟盈半导体</w:t>
      </w:r>
    </w:p>
    <w:p w14:paraId="3561A768" w14:textId="77777777" w:rsidR="009A031E" w:rsidRDefault="009A031E" w:rsidP="009A031E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代表阿里云，投资自变量机器人（通用具身智能大模型）</w:t>
      </w:r>
    </w:p>
    <w:p w14:paraId="47A0043C" w14:textId="77777777" w:rsidR="009A031E" w:rsidRDefault="009A031E" w:rsidP="009A031E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代表中金资本，投资科睿驰医疗（血管介入类医疗器械）</w:t>
      </w:r>
    </w:p>
    <w:p w14:paraId="3C8FC312" w14:textId="77777777" w:rsidR="009A031E" w:rsidRDefault="009A031E" w:rsidP="009A031E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代表中金资本，投资易冲半导体（无线充电芯片）</w:t>
      </w:r>
    </w:p>
    <w:p w14:paraId="2DA6CD65" w14:textId="77777777" w:rsidR="009A031E" w:rsidRDefault="009A031E" w:rsidP="009A031E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代表招商局资本，投资葆元医药并完成红筹架构重组</w:t>
      </w:r>
    </w:p>
    <w:p w14:paraId="05714B3D" w14:textId="77777777" w:rsidR="009A031E" w:rsidRDefault="009A031E" w:rsidP="009A031E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代表华侨城资本，战略投资国投高新（国投集团旗下新兴产业投资平台）</w:t>
      </w:r>
    </w:p>
    <w:p w14:paraId="4CFEC01D" w14:textId="77777777" w:rsidR="009A031E" w:rsidRDefault="009A031E" w:rsidP="009A031E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代表云锋基金，投资鲸仓科技（智能仓储自动化解决方案）</w:t>
      </w:r>
    </w:p>
    <w:p w14:paraId="1C8969BF" w14:textId="77777777" w:rsidR="009A031E" w:rsidRDefault="009A031E" w:rsidP="009A031E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代表迈瑞医疗（</w:t>
      </w:r>
      <w:r w:rsidRPr="009A031E">
        <w:rPr>
          <w:rFonts w:ascii="宋体" w:eastAsia="宋体" w:hAnsi="Times New Roman"/>
          <w:color w:val="000000"/>
        </w:rPr>
        <w:t>300760.SZ），获得逾二十家投资人的上市前投资</w:t>
      </w:r>
    </w:p>
    <w:p w14:paraId="12BAF15B" w14:textId="77777777" w:rsidR="009A031E" w:rsidRDefault="009A031E" w:rsidP="009A031E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代表迈格松生物，完成</w:t>
      </w:r>
      <w:r w:rsidRPr="009A031E">
        <w:rPr>
          <w:rFonts w:ascii="宋体" w:eastAsia="宋体" w:hAnsi="Times New Roman"/>
          <w:color w:val="000000"/>
        </w:rPr>
        <w:t>Pre-A轮投资</w:t>
      </w:r>
    </w:p>
    <w:p w14:paraId="004F4574" w14:textId="77777777" w:rsidR="009A031E" w:rsidRDefault="009A031E" w:rsidP="009A031E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代表云锋基金，投资鲸仓科技（智能仓储自动化解决方案）</w:t>
      </w:r>
    </w:p>
    <w:p w14:paraId="68C10AB1" w14:textId="77777777" w:rsidR="009A031E" w:rsidRDefault="009A031E" w:rsidP="009A031E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代表视涯科技（</w:t>
      </w:r>
      <w:r w:rsidRPr="009A031E">
        <w:rPr>
          <w:rFonts w:ascii="宋体" w:eastAsia="宋体" w:hAnsi="Times New Roman"/>
          <w:color w:val="000000"/>
        </w:rPr>
        <w:t>688781.SH），投资XReal（AR眼镜）、理湃光晶（AR近眼显示模组）</w:t>
      </w:r>
    </w:p>
    <w:p w14:paraId="70EC8EFA" w14:textId="77777777" w:rsidR="009A031E" w:rsidRDefault="009A031E" w:rsidP="009A031E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代表视涯科技（</w:t>
      </w:r>
      <w:r w:rsidRPr="009A031E">
        <w:rPr>
          <w:rFonts w:ascii="宋体" w:eastAsia="宋体" w:hAnsi="Times New Roman"/>
          <w:color w:val="000000"/>
        </w:rPr>
        <w:t>688781.SH）、迈瑞医疗（300760.SZ）、奕瑞科技（688301.SH）、纳米维景（高速高精度辐射成像领导者），处理上市前员工股权激励事宜</w:t>
      </w:r>
    </w:p>
    <w:p w14:paraId="3FA01189" w14:textId="77777777" w:rsidR="009A031E" w:rsidRDefault="009A031E" w:rsidP="009A031E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</w:t>
      </w:r>
      <w:r w:rsidRPr="009A031E">
        <w:rPr>
          <w:rFonts w:ascii="宋体" w:eastAsia="宋体" w:hAnsi="Times New Roman"/>
          <w:color w:val="000000"/>
        </w:rPr>
        <w:t>MKS Instruments, Inc.（NASDAQ: MKSI）、Singapore Post Ltd（SGX:S08）、DFI Retail (SGX:D01)等跨国企业，处理在华投资及合资事务</w:t>
      </w:r>
    </w:p>
    <w:p w14:paraId="38C10774" w14:textId="77777777" w:rsidR="009A031E" w:rsidRDefault="009A031E" w:rsidP="009A031E">
      <w:pPr>
        <w:pStyle w:val="af5"/>
        <w:spacing w:before="12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并购交易</w:t>
      </w:r>
    </w:p>
    <w:p w14:paraId="4EC88306" w14:textId="77777777" w:rsidR="009A031E" w:rsidRDefault="009A031E" w:rsidP="009A031E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</w:t>
      </w:r>
      <w:r w:rsidRPr="009A031E">
        <w:rPr>
          <w:rFonts w:ascii="宋体" w:eastAsia="宋体" w:hAnsi="Times New Roman"/>
          <w:color w:val="000000"/>
        </w:rPr>
        <w:t>ASMPT Limited（0522.HK），重组其全球半导体包装物料和引线框架业务并以2亿美元向投资人出售该等业务的控制性股权</w:t>
      </w:r>
    </w:p>
    <w:p w14:paraId="408A77C8" w14:textId="77777777" w:rsidR="009A031E" w:rsidRDefault="009A031E" w:rsidP="009A031E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</w:t>
      </w:r>
      <w:r w:rsidRPr="009A031E">
        <w:rPr>
          <w:rFonts w:ascii="宋体" w:eastAsia="宋体" w:hAnsi="Times New Roman"/>
          <w:color w:val="000000"/>
        </w:rPr>
        <w:t>ASMPT Limited（0522.HK），分别全资收购中国制造执行系统（MES）解决方案领军企业</w:t>
      </w:r>
      <w:r w:rsidRPr="009A031E">
        <w:rPr>
          <w:rFonts w:ascii="宋体" w:eastAsia="宋体" w:hAnsi="Times New Roman"/>
          <w:color w:val="000000"/>
        </w:rPr>
        <w:t>“</w:t>
      </w:r>
      <w:r w:rsidRPr="009A031E">
        <w:rPr>
          <w:rFonts w:ascii="宋体" w:eastAsia="宋体" w:hAnsi="Times New Roman"/>
          <w:color w:val="000000"/>
        </w:rPr>
        <w:t>深科特</w:t>
      </w:r>
      <w:r w:rsidRPr="009A031E">
        <w:rPr>
          <w:rFonts w:ascii="宋体" w:eastAsia="宋体" w:hAnsi="Times New Roman"/>
          <w:color w:val="000000"/>
        </w:rPr>
        <w:t>”</w:t>
      </w:r>
      <w:r w:rsidRPr="009A031E">
        <w:rPr>
          <w:rFonts w:ascii="宋体" w:eastAsia="宋体" w:hAnsi="Times New Roman"/>
          <w:color w:val="000000"/>
        </w:rPr>
        <w:t>、SMT解决方案提供商</w:t>
      </w:r>
      <w:r w:rsidRPr="009A031E">
        <w:rPr>
          <w:rFonts w:ascii="宋体" w:eastAsia="宋体" w:hAnsi="Times New Roman"/>
          <w:color w:val="000000"/>
        </w:rPr>
        <w:t>“</w:t>
      </w:r>
      <w:r w:rsidRPr="009A031E">
        <w:rPr>
          <w:rFonts w:ascii="宋体" w:eastAsia="宋体" w:hAnsi="Times New Roman"/>
          <w:color w:val="000000"/>
        </w:rPr>
        <w:t>博瑞先进</w:t>
      </w:r>
      <w:r w:rsidRPr="009A031E">
        <w:rPr>
          <w:rFonts w:ascii="宋体" w:eastAsia="宋体" w:hAnsi="Times New Roman"/>
          <w:color w:val="000000"/>
        </w:rPr>
        <w:t>”</w:t>
      </w:r>
    </w:p>
    <w:p w14:paraId="65B7182A" w14:textId="77777777" w:rsidR="009A031E" w:rsidRDefault="009A031E" w:rsidP="009A031E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代表中国旅游集团，分别全资收购香港佳富物业服务有限公司、香港威信服务有限公司</w:t>
      </w:r>
    </w:p>
    <w:p w14:paraId="571428AD" w14:textId="77777777" w:rsidR="009A031E" w:rsidRDefault="009A031E" w:rsidP="009A031E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代表一家上市公司，正在收购一家领先的金融科技公司</w:t>
      </w:r>
    </w:p>
    <w:p w14:paraId="6863E03D" w14:textId="77777777" w:rsidR="009A031E" w:rsidRDefault="009A031E" w:rsidP="009A031E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代表奕瑞科技（</w:t>
      </w:r>
      <w:r w:rsidRPr="009A031E">
        <w:rPr>
          <w:rFonts w:ascii="宋体" w:eastAsia="宋体" w:hAnsi="Times New Roman"/>
          <w:color w:val="000000"/>
        </w:rPr>
        <w:t>688301.SH），收购海玮科技、鸿置新材料的控股权</w:t>
      </w:r>
    </w:p>
    <w:p w14:paraId="1D87F192" w14:textId="77777777" w:rsidR="009A031E" w:rsidRDefault="009A031E" w:rsidP="009A031E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代表菲森科技，收购以色列牙科技术公司</w:t>
      </w:r>
      <w:r w:rsidRPr="009A031E">
        <w:rPr>
          <w:rFonts w:ascii="宋体" w:eastAsia="宋体" w:hAnsi="Times New Roman"/>
          <w:color w:val="000000"/>
        </w:rPr>
        <w:t>Cortex Dental在华子公司的控股权</w:t>
      </w:r>
    </w:p>
    <w:p w14:paraId="4E52EDA8" w14:textId="77777777" w:rsidR="009A031E" w:rsidRDefault="009A031E" w:rsidP="009A031E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代表阿里影业（</w:t>
      </w:r>
      <w:r w:rsidRPr="009A031E">
        <w:rPr>
          <w:rFonts w:ascii="宋体" w:eastAsia="宋体" w:hAnsi="Times New Roman"/>
          <w:color w:val="000000"/>
        </w:rPr>
        <w:t>1060.HK），以人民币8.3亿元收购粤科软件100%股权</w:t>
      </w:r>
    </w:p>
    <w:p w14:paraId="6F252C4F" w14:textId="77777777" w:rsidR="009A031E" w:rsidRDefault="009A031E" w:rsidP="009A031E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代表一家科技公司，拟收购新思科技（</w:t>
      </w:r>
      <w:r w:rsidRPr="009A031E">
        <w:rPr>
          <w:rFonts w:ascii="宋体" w:eastAsia="宋体" w:hAnsi="Times New Roman"/>
          <w:color w:val="000000"/>
        </w:rPr>
        <w:t>NASDAQ: SYNA）TDDI亚洲业务</w:t>
      </w:r>
    </w:p>
    <w:p w14:paraId="3A0BE9E4" w14:textId="77777777" w:rsidR="009A031E" w:rsidRDefault="009A031E" w:rsidP="009A031E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代表一家上市公司，拟收购</w:t>
      </w:r>
      <w:r w:rsidRPr="009A031E">
        <w:rPr>
          <w:rFonts w:ascii="宋体" w:eastAsia="宋体" w:hAnsi="Times New Roman"/>
          <w:color w:val="000000"/>
        </w:rPr>
        <w:t>GE HealthCare（NASDAQ: GEHC）若干美国资产及业务</w:t>
      </w:r>
    </w:p>
    <w:p w14:paraId="43E2B65A" w14:textId="77777777" w:rsidR="009A031E" w:rsidRDefault="009A031E" w:rsidP="009A031E">
      <w:pPr>
        <w:pStyle w:val="af5"/>
        <w:spacing w:before="12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基金交易</w:t>
      </w:r>
    </w:p>
    <w:p w14:paraId="4BC8CD4F" w14:textId="77777777" w:rsidR="009A031E" w:rsidRDefault="009A031E" w:rsidP="009A031E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代表中金资本、招商局资本、华润资本，作为</w:t>
      </w:r>
      <w:r w:rsidRPr="009A031E">
        <w:rPr>
          <w:rFonts w:ascii="宋体" w:eastAsia="宋体" w:hAnsi="Times New Roman"/>
          <w:color w:val="000000"/>
        </w:rPr>
        <w:t>GP设立近十支私募股权基金</w:t>
      </w:r>
    </w:p>
    <w:p w14:paraId="51331568" w14:textId="77777777" w:rsidR="009A031E" w:rsidRDefault="009A031E" w:rsidP="009A031E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代表中金资本、招商局资本、天翼资本，作为</w:t>
      </w:r>
      <w:r w:rsidRPr="009A031E">
        <w:rPr>
          <w:rFonts w:ascii="宋体" w:eastAsia="宋体" w:hAnsi="Times New Roman"/>
          <w:color w:val="000000"/>
        </w:rPr>
        <w:t>LP投资数十支私募股权基金</w:t>
      </w:r>
    </w:p>
    <w:p w14:paraId="44252A3A" w14:textId="77777777" w:rsidR="009A031E" w:rsidRDefault="009A031E" w:rsidP="009A031E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</w:t>
      </w:r>
      <w:r w:rsidRPr="009A031E">
        <w:rPr>
          <w:rFonts w:ascii="宋体" w:eastAsia="宋体" w:hAnsi="Times New Roman"/>
          <w:color w:val="000000"/>
        </w:rPr>
        <w:t>Coller Capital，收购多支私募股权基金的LP份额</w:t>
      </w:r>
    </w:p>
    <w:p w14:paraId="6C72ADAC" w14:textId="77777777" w:rsidR="009A031E" w:rsidRDefault="009A031E" w:rsidP="009A031E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代表招商局资本、长城资管，拟全面收购若干处于退出期的私募股权基金</w:t>
      </w:r>
    </w:p>
    <w:p w14:paraId="69482020" w14:textId="77777777" w:rsidR="009A031E" w:rsidRDefault="009A031E" w:rsidP="009A031E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代表青锐资本，处理其募资、项目投资、投后管理、基金运营及合规事务</w:t>
      </w:r>
    </w:p>
    <w:p w14:paraId="1EE1DB07" w14:textId="77777777" w:rsidR="009A031E" w:rsidRDefault="009A031E" w:rsidP="009A031E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代表奕瑞科技（</w:t>
      </w:r>
      <w:r w:rsidRPr="009A031E">
        <w:rPr>
          <w:rFonts w:ascii="宋体" w:eastAsia="宋体" w:hAnsi="Times New Roman"/>
          <w:color w:val="000000"/>
        </w:rPr>
        <w:t>688301.SH）、视涯科技（688781.SH）、碳云科技，投资多支产业基金</w:t>
      </w:r>
    </w:p>
    <w:p w14:paraId="4C45AB9C" w14:textId="77777777" w:rsidR="009A031E" w:rsidRDefault="009A031E" w:rsidP="009A031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A031E">
        <w:rPr>
          <w:rFonts w:ascii="宋体" w:eastAsia="宋体" w:hAnsi="宋体" w:hint="eastAsia"/>
          <w:b/>
          <w:sz w:val="24"/>
        </w:rPr>
        <w:t>教育背景</w:t>
      </w:r>
    </w:p>
    <w:p w14:paraId="587761E7" w14:textId="77777777" w:rsidR="009A031E" w:rsidRDefault="009A031E" w:rsidP="009A031E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北京大学，法律硕士</w:t>
      </w:r>
    </w:p>
    <w:p w14:paraId="382B17E3" w14:textId="77777777" w:rsidR="009A031E" w:rsidRDefault="009A031E" w:rsidP="009A031E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中国政法大学，法学学士</w:t>
      </w:r>
    </w:p>
    <w:p w14:paraId="2ACD97D5" w14:textId="77777777" w:rsidR="009A031E" w:rsidRDefault="009A031E" w:rsidP="009A031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A031E">
        <w:rPr>
          <w:rFonts w:ascii="宋体" w:eastAsia="宋体" w:hAnsi="宋体" w:hint="eastAsia"/>
          <w:b/>
          <w:sz w:val="24"/>
        </w:rPr>
        <w:t>执业资格</w:t>
      </w:r>
    </w:p>
    <w:p w14:paraId="1ED89574" w14:textId="77777777" w:rsidR="009A031E" w:rsidRDefault="009A031E" w:rsidP="009A031E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中华人民共和国执业律师</w:t>
      </w:r>
    </w:p>
    <w:p w14:paraId="565A28CC" w14:textId="77777777" w:rsidR="009A031E" w:rsidRDefault="009A031E" w:rsidP="009A031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A031E">
        <w:rPr>
          <w:rFonts w:ascii="宋体" w:eastAsia="宋体" w:hAnsi="宋体" w:hint="eastAsia"/>
          <w:b/>
          <w:sz w:val="24"/>
        </w:rPr>
        <w:t>职业背景</w:t>
      </w:r>
    </w:p>
    <w:p w14:paraId="4F0A196B" w14:textId="223E4B07" w:rsidR="00A46A04" w:rsidRPr="009A031E" w:rsidRDefault="009A031E" w:rsidP="009A031E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A031E">
        <w:rPr>
          <w:rFonts w:ascii="宋体" w:eastAsia="宋体" w:hAnsi="Times New Roman" w:hint="eastAsia"/>
          <w:color w:val="000000"/>
        </w:rPr>
        <w:t>李燕萍律师于</w:t>
      </w:r>
      <w:r w:rsidRPr="009A031E">
        <w:rPr>
          <w:rFonts w:ascii="宋体" w:eastAsia="宋体" w:hAnsi="Times New Roman"/>
          <w:color w:val="000000"/>
        </w:rPr>
        <w:t>2015年加入方达律师事务所。</w:t>
      </w:r>
    </w:p>
    <w:sectPr w:rsidR="00A46A04" w:rsidRPr="009A031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5329E"/>
    <w:multiLevelType w:val="singleLevel"/>
    <w:tmpl w:val="16A4EC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F96DD8"/>
    <w:multiLevelType w:val="singleLevel"/>
    <w:tmpl w:val="2D80F2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CB04E8"/>
    <w:multiLevelType w:val="singleLevel"/>
    <w:tmpl w:val="0BC014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962110"/>
    <w:multiLevelType w:val="singleLevel"/>
    <w:tmpl w:val="B6568B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66B2B12"/>
    <w:multiLevelType w:val="singleLevel"/>
    <w:tmpl w:val="840E9A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6AD1667"/>
    <w:multiLevelType w:val="singleLevel"/>
    <w:tmpl w:val="95A09E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6BA10EE"/>
    <w:multiLevelType w:val="singleLevel"/>
    <w:tmpl w:val="0AF4A4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7B41741"/>
    <w:multiLevelType w:val="singleLevel"/>
    <w:tmpl w:val="54583C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B8E573C"/>
    <w:multiLevelType w:val="singleLevel"/>
    <w:tmpl w:val="E49254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23869E8"/>
    <w:multiLevelType w:val="singleLevel"/>
    <w:tmpl w:val="8938AB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4AD39F9"/>
    <w:multiLevelType w:val="singleLevel"/>
    <w:tmpl w:val="75C69B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62814DC"/>
    <w:multiLevelType w:val="singleLevel"/>
    <w:tmpl w:val="D092E7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72B68BD"/>
    <w:multiLevelType w:val="singleLevel"/>
    <w:tmpl w:val="3238F2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7B90F2F"/>
    <w:multiLevelType w:val="singleLevel"/>
    <w:tmpl w:val="2FA075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8284333"/>
    <w:multiLevelType w:val="singleLevel"/>
    <w:tmpl w:val="95A09E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BE06631"/>
    <w:multiLevelType w:val="singleLevel"/>
    <w:tmpl w:val="03F63E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1681251"/>
    <w:multiLevelType w:val="singleLevel"/>
    <w:tmpl w:val="2932D0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4E1485F"/>
    <w:multiLevelType w:val="singleLevel"/>
    <w:tmpl w:val="121888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9BF1032"/>
    <w:multiLevelType w:val="singleLevel"/>
    <w:tmpl w:val="9C2247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 w15:restartNumberingAfterBreak="0">
    <w:nsid w:val="40AA060B"/>
    <w:multiLevelType w:val="singleLevel"/>
    <w:tmpl w:val="D25825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21440FD"/>
    <w:multiLevelType w:val="singleLevel"/>
    <w:tmpl w:val="7C3C72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DA91CEE"/>
    <w:multiLevelType w:val="singleLevel"/>
    <w:tmpl w:val="091007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15E3CC0"/>
    <w:multiLevelType w:val="singleLevel"/>
    <w:tmpl w:val="592090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29E30CC"/>
    <w:multiLevelType w:val="singleLevel"/>
    <w:tmpl w:val="D7B624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519588A"/>
    <w:multiLevelType w:val="singleLevel"/>
    <w:tmpl w:val="C34CD9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5462715"/>
    <w:multiLevelType w:val="singleLevel"/>
    <w:tmpl w:val="A7C49A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960112F"/>
    <w:multiLevelType w:val="singleLevel"/>
    <w:tmpl w:val="D00257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EE710D4"/>
    <w:multiLevelType w:val="singleLevel"/>
    <w:tmpl w:val="02B078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0F44BEA"/>
    <w:multiLevelType w:val="singleLevel"/>
    <w:tmpl w:val="1304EB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14C59EA"/>
    <w:multiLevelType w:val="singleLevel"/>
    <w:tmpl w:val="1B26EB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65E785E"/>
    <w:multiLevelType w:val="singleLevel"/>
    <w:tmpl w:val="8C3698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30C6F80"/>
    <w:multiLevelType w:val="singleLevel"/>
    <w:tmpl w:val="B7DA9C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A5F60ED"/>
    <w:multiLevelType w:val="singleLevel"/>
    <w:tmpl w:val="A3FA16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B1C3579"/>
    <w:multiLevelType w:val="singleLevel"/>
    <w:tmpl w:val="615A3B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E416627"/>
    <w:multiLevelType w:val="singleLevel"/>
    <w:tmpl w:val="13A89C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EDC2486"/>
    <w:multiLevelType w:val="singleLevel"/>
    <w:tmpl w:val="55FC30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6"/>
  </w:num>
  <w:num w:numId="2">
    <w:abstractNumId w:val="20"/>
  </w:num>
  <w:num w:numId="3">
    <w:abstractNumId w:val="0"/>
  </w:num>
  <w:num w:numId="4">
    <w:abstractNumId w:val="8"/>
  </w:num>
  <w:num w:numId="5">
    <w:abstractNumId w:val="3"/>
  </w:num>
  <w:num w:numId="6">
    <w:abstractNumId w:val="17"/>
  </w:num>
  <w:num w:numId="7">
    <w:abstractNumId w:val="27"/>
  </w:num>
  <w:num w:numId="8">
    <w:abstractNumId w:val="9"/>
  </w:num>
  <w:num w:numId="9">
    <w:abstractNumId w:val="36"/>
  </w:num>
  <w:num w:numId="10">
    <w:abstractNumId w:val="11"/>
  </w:num>
  <w:num w:numId="11">
    <w:abstractNumId w:val="30"/>
  </w:num>
  <w:num w:numId="12">
    <w:abstractNumId w:val="31"/>
  </w:num>
  <w:num w:numId="13">
    <w:abstractNumId w:val="18"/>
  </w:num>
  <w:num w:numId="14">
    <w:abstractNumId w:val="15"/>
  </w:num>
  <w:num w:numId="15">
    <w:abstractNumId w:val="28"/>
  </w:num>
  <w:num w:numId="16">
    <w:abstractNumId w:val="19"/>
  </w:num>
  <w:num w:numId="17">
    <w:abstractNumId w:val="21"/>
  </w:num>
  <w:num w:numId="18">
    <w:abstractNumId w:val="24"/>
  </w:num>
  <w:num w:numId="19">
    <w:abstractNumId w:val="34"/>
  </w:num>
  <w:num w:numId="20">
    <w:abstractNumId w:val="35"/>
  </w:num>
  <w:num w:numId="21">
    <w:abstractNumId w:val="6"/>
  </w:num>
  <w:num w:numId="22">
    <w:abstractNumId w:val="22"/>
  </w:num>
  <w:num w:numId="23">
    <w:abstractNumId w:val="1"/>
  </w:num>
  <w:num w:numId="24">
    <w:abstractNumId w:val="32"/>
  </w:num>
  <w:num w:numId="25">
    <w:abstractNumId w:val="7"/>
  </w:num>
  <w:num w:numId="26">
    <w:abstractNumId w:val="23"/>
  </w:num>
  <w:num w:numId="27">
    <w:abstractNumId w:val="2"/>
  </w:num>
  <w:num w:numId="28">
    <w:abstractNumId w:val="26"/>
  </w:num>
  <w:num w:numId="29">
    <w:abstractNumId w:val="33"/>
  </w:num>
  <w:num w:numId="30">
    <w:abstractNumId w:val="13"/>
  </w:num>
  <w:num w:numId="31">
    <w:abstractNumId w:val="25"/>
  </w:num>
  <w:num w:numId="32">
    <w:abstractNumId w:val="12"/>
  </w:num>
  <w:num w:numId="33">
    <w:abstractNumId w:val="10"/>
  </w:num>
  <w:num w:numId="34">
    <w:abstractNumId w:val="4"/>
  </w:num>
  <w:num w:numId="35">
    <w:abstractNumId w:val="29"/>
  </w:num>
  <w:num w:numId="36">
    <w:abstractNumId w:val="37"/>
  </w:num>
  <w:num w:numId="37">
    <w:abstractNumId w:val="5"/>
  </w:num>
  <w:num w:numId="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031E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A031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A031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4D52691-96F9-412F-BB6A-6E84A87CA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2026-07-07T23:17:00Z</dcterms:created>
  <dcterms:modified xsi:type="dcterms:W3CDTF">2026-07-07T23:17:00Z</dcterms:modified>
</cp:coreProperties>
</file>