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CD9FE67" w:rsidR="0049405C" w:rsidRPr="00187BAA" w:rsidRDefault="00C66EF7" w:rsidP="00C66EF7">
            <w:pPr>
              <w:spacing w:line="720" w:lineRule="auto"/>
              <w:rPr>
                <w:rFonts w:ascii="宋体" w:eastAsia="宋体" w:hAnsi="宋体"/>
                <w:color w:val="545551"/>
              </w:rPr>
            </w:pPr>
            <w:bookmarkStart w:id="0" w:name="xingming"/>
            <w:bookmarkStart w:id="1" w:name="_GoBack"/>
            <w:bookmarkEnd w:id="1"/>
            <w:r w:rsidRPr="00C66EF7">
              <w:rPr>
                <w:rFonts w:ascii="宋体" w:eastAsia="宋体" w:hAnsi="Times New Roman" w:hint="eastAsia"/>
                <w:b/>
                <w:color w:val="000000"/>
                <w:sz w:val="48"/>
              </w:rPr>
              <w:t>孙牧然</w:t>
            </w:r>
            <w:bookmarkEnd w:id="0"/>
          </w:p>
          <w:p w14:paraId="706EB16B" w14:textId="12018F8F" w:rsidR="0049405C" w:rsidRPr="00187BAA" w:rsidRDefault="00C66EF7" w:rsidP="00C66EF7">
            <w:pPr>
              <w:spacing w:line="360" w:lineRule="auto"/>
              <w:rPr>
                <w:rFonts w:ascii="宋体" w:eastAsia="宋体" w:hAnsi="宋体"/>
                <w:b/>
                <w:bCs/>
                <w:color w:val="545551"/>
              </w:rPr>
            </w:pPr>
            <w:bookmarkStart w:id="2" w:name="didian"/>
            <w:r w:rsidRPr="00C66EF7">
              <w:rPr>
                <w:rFonts w:ascii="宋体" w:eastAsia="宋体" w:hAnsi="Times New Roman" w:hint="eastAsia"/>
                <w:b/>
                <w:bCs/>
                <w:color w:val="000000"/>
              </w:rPr>
              <w:t>合伙人·上海</w:t>
            </w:r>
            <w:bookmarkEnd w:id="2"/>
          </w:p>
          <w:p w14:paraId="6199424A" w14:textId="60ED2821" w:rsidR="0049405C" w:rsidRPr="00187BAA" w:rsidRDefault="00C66EF7" w:rsidP="00C66EF7">
            <w:pPr>
              <w:spacing w:line="360" w:lineRule="auto"/>
              <w:rPr>
                <w:rFonts w:ascii="宋体" w:eastAsia="宋体" w:hAnsi="宋体"/>
                <w:color w:val="545551"/>
              </w:rPr>
            </w:pPr>
            <w:bookmarkStart w:id="3" w:name="dianhua"/>
            <w:r w:rsidRPr="00C66EF7">
              <w:rPr>
                <w:rFonts w:ascii="宋体" w:eastAsia="宋体" w:hAnsi="Times New Roman"/>
                <w:color w:val="000000"/>
              </w:rPr>
              <w:t xml:space="preserve">+86 21 2208 1018 </w:t>
            </w:r>
            <w:bookmarkEnd w:id="3"/>
          </w:p>
          <w:p w14:paraId="4F910ACA" w14:textId="05296943" w:rsidR="0049405C" w:rsidRPr="00187BAA" w:rsidRDefault="00C66EF7" w:rsidP="00C66EF7">
            <w:pPr>
              <w:spacing w:line="360" w:lineRule="auto"/>
              <w:rPr>
                <w:rFonts w:ascii="宋体" w:eastAsia="宋体" w:hAnsi="宋体"/>
                <w:color w:val="000000"/>
              </w:rPr>
            </w:pPr>
            <w:bookmarkStart w:id="4" w:name="youxiang"/>
            <w:r w:rsidRPr="00C66EF7">
              <w:rPr>
                <w:rFonts w:ascii="宋体" w:eastAsia="宋体" w:hAnsi="Times New Roman"/>
                <w:color w:val="000000"/>
              </w:rPr>
              <w:t>muran.sun@fangdalaw.com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7718BB" w:rsidR="0049405C" w:rsidRPr="00187BAA" w:rsidRDefault="00C66EF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FCA650" wp14:editId="1ACC9B7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0B7D8B4" w:rsidR="009465FB" w:rsidRPr="00187BAA" w:rsidRDefault="00C66EF7" w:rsidP="007177F3">
            <w:pPr>
              <w:rPr>
                <w:rFonts w:ascii="宋体" w:eastAsia="宋体" w:hAnsi="宋体"/>
                <w:color w:val="000000"/>
                <w:szCs w:val="21"/>
              </w:rPr>
            </w:pPr>
            <w:bookmarkStart w:id="6" w:name="zhiyelingyu"/>
            <w:r w:rsidRPr="00C66EF7">
              <w:rPr>
                <w:rFonts w:ascii="宋体" w:eastAsia="宋体" w:hAnsi="Times New Roman" w:hint="eastAsia"/>
                <w:color w:val="000000"/>
                <w:szCs w:val="21"/>
              </w:rPr>
              <w:t>知识产权诉讼与许可、反垄断诉讼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41280A" w14:textId="77777777" w:rsidR="00C66EF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C7B475" w14:textId="77777777" w:rsidR="00C66EF7" w:rsidRDefault="00C66EF7" w:rsidP="00C66EF7">
      <w:pPr>
        <w:pStyle w:val="af5"/>
        <w:spacing w:before="120"/>
        <w:rPr>
          <w:rFonts w:ascii="宋体" w:eastAsia="宋体" w:hAnsi="Times New Roman"/>
          <w:color w:val="000000"/>
        </w:rPr>
      </w:pPr>
      <w:r w:rsidRPr="00C66EF7">
        <w:rPr>
          <w:rFonts w:ascii="宋体" w:eastAsia="宋体" w:hAnsi="Times New Roman" w:hint="eastAsia"/>
          <w:color w:val="000000"/>
        </w:rPr>
        <w:t>孙律师的业务领域专注于知识产权诉讼与许可、反垄断诉讼，特别是涉及复杂技术问题和前沿法律争议焦点的案件。她在标准必要专利的许可与争议方面尤其专业，其十多年的执业经历中丰富的案件代理经验涉及了各种不同的技术标准和许可模式。她同时在反垄断诉讼方面也颇具经验。同时，孙律师也代表企业参与知识产权许可谈判，为企业处理其他非诉类知识产权业务。</w:t>
      </w:r>
    </w:p>
    <w:p w14:paraId="584937E1" w14:textId="77777777" w:rsidR="00C66EF7" w:rsidRDefault="00C66EF7" w:rsidP="00C66EF7">
      <w:pPr>
        <w:pStyle w:val="af5"/>
        <w:spacing w:after="0" w:line="480" w:lineRule="auto"/>
        <w:rPr>
          <w:rFonts w:ascii="宋体" w:eastAsia="宋体" w:hAnsi="宋体"/>
          <w:b/>
          <w:sz w:val="24"/>
        </w:rPr>
      </w:pPr>
      <w:r w:rsidRPr="00C66EF7">
        <w:rPr>
          <w:rFonts w:ascii="宋体" w:eastAsia="宋体" w:hAnsi="宋体" w:hint="eastAsia"/>
          <w:b/>
          <w:sz w:val="24"/>
        </w:rPr>
        <w:t>近期代理的主要案件</w:t>
      </w:r>
    </w:p>
    <w:p w14:paraId="430CBBF2" w14:textId="77777777" w:rsidR="00C66EF7" w:rsidRDefault="00C66EF7" w:rsidP="00C66EF7">
      <w:pPr>
        <w:pStyle w:val="af5"/>
        <w:spacing w:before="120"/>
        <w:rPr>
          <w:rFonts w:ascii="宋体" w:eastAsia="宋体" w:hAnsi="Times New Roman"/>
          <w:color w:val="000000"/>
        </w:rPr>
      </w:pPr>
      <w:r w:rsidRPr="00C66EF7">
        <w:rPr>
          <w:rFonts w:ascii="宋体" w:eastAsia="宋体" w:hAnsi="Times New Roman" w:hint="eastAsia"/>
          <w:color w:val="000000"/>
        </w:rPr>
        <w:t>诉讼案例</w:t>
      </w:r>
    </w:p>
    <w:p w14:paraId="4630D064" w14:textId="77777777" w:rsidR="00C66EF7" w:rsidRDefault="00C66EF7" w:rsidP="00C66EF7">
      <w:pPr>
        <w:pStyle w:val="af5"/>
        <w:numPr>
          <w:ilvl w:val="0"/>
          <w:numId w:val="4"/>
        </w:numPr>
        <w:spacing w:before="120"/>
        <w:ind w:left="690" w:hanging="240"/>
        <w:rPr>
          <w:rFonts w:ascii="宋体" w:eastAsia="宋体" w:hAnsi="Times New Roman"/>
          <w:color w:val="000000"/>
        </w:rPr>
      </w:pPr>
      <w:r w:rsidRPr="00C66EF7">
        <w:rPr>
          <w:rFonts w:ascii="宋体" w:eastAsia="宋体" w:hAnsi="Times New Roman" w:hint="eastAsia"/>
          <w:color w:val="000000"/>
        </w:rPr>
        <w:t>代表某物联网设备制造商处理其与诺基亚之间的关于标准必要专利许可的争议</w:t>
      </w:r>
    </w:p>
    <w:p w14:paraId="12243C7A" w14:textId="77777777" w:rsidR="00C66EF7" w:rsidRDefault="00C66EF7" w:rsidP="00C66EF7">
      <w:pPr>
        <w:pStyle w:val="af5"/>
        <w:numPr>
          <w:ilvl w:val="0"/>
          <w:numId w:val="5"/>
        </w:numPr>
        <w:spacing w:before="120"/>
        <w:ind w:left="690" w:hanging="240"/>
        <w:rPr>
          <w:rFonts w:ascii="宋体" w:eastAsia="宋体" w:hAnsi="Times New Roman"/>
          <w:color w:val="000000"/>
        </w:rPr>
      </w:pPr>
      <w:r w:rsidRPr="00C66EF7">
        <w:rPr>
          <w:rFonts w:ascii="宋体" w:eastAsia="宋体" w:hAnsi="Times New Roman" w:hint="eastAsia"/>
          <w:color w:val="000000"/>
        </w:rPr>
        <w:t>代表某领先电商平台处理与差别待遇相关的反垄断诉讼</w:t>
      </w:r>
    </w:p>
    <w:p w14:paraId="36A3F5B3" w14:textId="77777777" w:rsidR="00C66EF7" w:rsidRDefault="00C66EF7" w:rsidP="00C66EF7">
      <w:pPr>
        <w:pStyle w:val="af5"/>
        <w:numPr>
          <w:ilvl w:val="0"/>
          <w:numId w:val="6"/>
        </w:numPr>
        <w:spacing w:before="120"/>
        <w:ind w:left="690" w:hanging="240"/>
        <w:rPr>
          <w:rFonts w:ascii="宋体" w:eastAsia="宋体" w:hAnsi="Times New Roman"/>
          <w:color w:val="000000"/>
        </w:rPr>
      </w:pPr>
      <w:r w:rsidRPr="00C66EF7">
        <w:rPr>
          <w:rFonts w:ascii="宋体" w:eastAsia="宋体" w:hAnsi="Times New Roman" w:hint="eastAsia"/>
          <w:color w:val="000000"/>
        </w:rPr>
        <w:t>代表某全球领先的工业产品与实验室器材公司处理商业秘密侵权案件</w:t>
      </w:r>
    </w:p>
    <w:p w14:paraId="2BB76A00" w14:textId="77777777" w:rsidR="00C66EF7" w:rsidRDefault="00C66EF7" w:rsidP="00C66EF7">
      <w:pPr>
        <w:pStyle w:val="af5"/>
        <w:numPr>
          <w:ilvl w:val="0"/>
          <w:numId w:val="7"/>
        </w:numPr>
        <w:spacing w:before="120"/>
        <w:ind w:left="690" w:hanging="240"/>
        <w:rPr>
          <w:rFonts w:ascii="宋体" w:eastAsia="宋体" w:hAnsi="Times New Roman"/>
          <w:color w:val="000000"/>
        </w:rPr>
      </w:pPr>
      <w:r w:rsidRPr="00C66EF7">
        <w:rPr>
          <w:rFonts w:ascii="宋体" w:eastAsia="宋体" w:hAnsi="Times New Roman" w:hint="eastAsia"/>
          <w:color w:val="000000"/>
        </w:rPr>
        <w:t>代表</w:t>
      </w:r>
      <w:r w:rsidRPr="00C66EF7">
        <w:rPr>
          <w:rFonts w:ascii="宋体" w:eastAsia="宋体" w:hAnsi="Times New Roman"/>
          <w:color w:val="000000"/>
        </w:rPr>
        <w:t>OPPO处理其与诺基亚之间关于标准必要专利许可FRAND许可费纠纷的中国程序</w:t>
      </w:r>
    </w:p>
    <w:p w14:paraId="41AA017E" w14:textId="77777777" w:rsidR="00C66EF7" w:rsidRDefault="00C66EF7" w:rsidP="00C66EF7">
      <w:pPr>
        <w:pStyle w:val="af5"/>
        <w:numPr>
          <w:ilvl w:val="0"/>
          <w:numId w:val="8"/>
        </w:numPr>
        <w:spacing w:before="120"/>
        <w:ind w:left="690" w:hanging="240"/>
        <w:rPr>
          <w:rFonts w:ascii="宋体" w:eastAsia="宋体" w:hAnsi="Times New Roman"/>
          <w:color w:val="000000"/>
        </w:rPr>
      </w:pPr>
      <w:r w:rsidRPr="00C66EF7">
        <w:rPr>
          <w:rFonts w:ascii="宋体" w:eastAsia="宋体" w:hAnsi="Times New Roman" w:hint="eastAsia"/>
          <w:color w:val="000000"/>
        </w:rPr>
        <w:t>代表英特尔（</w:t>
      </w:r>
      <w:r w:rsidRPr="00C66EF7">
        <w:rPr>
          <w:rFonts w:ascii="宋体" w:eastAsia="宋体" w:hAnsi="Times New Roman"/>
          <w:color w:val="000000"/>
        </w:rPr>
        <w:t>Intel）处理与片上系统（SoC）电源管理方案相关的专利侵权与无效纠纷</w:t>
      </w:r>
    </w:p>
    <w:p w14:paraId="2A53AF1F" w14:textId="77777777" w:rsidR="00C66EF7" w:rsidRDefault="00C66EF7" w:rsidP="00C66EF7">
      <w:pPr>
        <w:pStyle w:val="af5"/>
        <w:numPr>
          <w:ilvl w:val="0"/>
          <w:numId w:val="9"/>
        </w:numPr>
        <w:spacing w:before="120"/>
        <w:ind w:left="690" w:hanging="240"/>
        <w:rPr>
          <w:rFonts w:ascii="宋体" w:eastAsia="宋体" w:hAnsi="Times New Roman"/>
          <w:color w:val="000000"/>
        </w:rPr>
      </w:pPr>
      <w:r w:rsidRPr="00C66EF7">
        <w:rPr>
          <w:rFonts w:ascii="宋体" w:eastAsia="宋体" w:hAnsi="Times New Roman" w:hint="eastAsia"/>
          <w:color w:val="000000"/>
        </w:rPr>
        <w:t>代表联想处理其与诺基亚之间关于标准必要专利许可</w:t>
      </w:r>
      <w:r w:rsidRPr="00C66EF7">
        <w:rPr>
          <w:rFonts w:ascii="宋体" w:eastAsia="宋体" w:hAnsi="Times New Roman"/>
          <w:color w:val="000000"/>
        </w:rPr>
        <w:t>FRAND许可费纠纷的中国程序</w:t>
      </w:r>
    </w:p>
    <w:p w14:paraId="23DB9B39" w14:textId="77777777" w:rsidR="00C66EF7" w:rsidRDefault="00C66EF7" w:rsidP="00C66EF7">
      <w:pPr>
        <w:pStyle w:val="af5"/>
        <w:numPr>
          <w:ilvl w:val="0"/>
          <w:numId w:val="10"/>
        </w:numPr>
        <w:spacing w:before="120"/>
        <w:ind w:left="690" w:hanging="240"/>
        <w:rPr>
          <w:rFonts w:ascii="宋体" w:eastAsia="宋体" w:hAnsi="Times New Roman"/>
          <w:color w:val="000000"/>
        </w:rPr>
      </w:pPr>
      <w:r w:rsidRPr="00C66EF7">
        <w:rPr>
          <w:rFonts w:ascii="宋体" w:eastAsia="宋体" w:hAnsi="Times New Roman" w:hint="eastAsia"/>
          <w:color w:val="000000"/>
        </w:rPr>
        <w:t>代表苹果处理其与高通公司之间关于通信标准必要专利许可纠纷的相关中国程序，包括在北京知识产权法院的反垄断纠纷和</w:t>
      </w:r>
      <w:r w:rsidRPr="00C66EF7">
        <w:rPr>
          <w:rFonts w:ascii="宋体" w:eastAsia="宋体" w:hAnsi="Times New Roman"/>
          <w:color w:val="000000"/>
        </w:rPr>
        <w:t>FRAND 许可条件纠纷、在全国多个法院发生的专利侵权纠纷、在北京知识产权法院的确认不侵犯专利权纠纷、在国家知识产权局的专利无效纠纷等程序</w:t>
      </w:r>
    </w:p>
    <w:p w14:paraId="1AFB5574" w14:textId="77777777" w:rsidR="00C66EF7" w:rsidRDefault="00C66EF7" w:rsidP="00C66EF7">
      <w:pPr>
        <w:pStyle w:val="af5"/>
        <w:numPr>
          <w:ilvl w:val="0"/>
          <w:numId w:val="11"/>
        </w:numPr>
        <w:spacing w:before="120"/>
        <w:ind w:left="690" w:hanging="240"/>
        <w:rPr>
          <w:rFonts w:ascii="宋体" w:eastAsia="宋体" w:hAnsi="Times New Roman"/>
          <w:color w:val="000000"/>
        </w:rPr>
      </w:pPr>
      <w:r w:rsidRPr="00C66EF7">
        <w:rPr>
          <w:rFonts w:ascii="宋体" w:eastAsia="宋体" w:hAnsi="Times New Roman" w:hint="eastAsia"/>
          <w:color w:val="000000"/>
        </w:rPr>
        <w:t>代表三星处理其与爱立信之间的标准必要专利许可纠纷中涉及的中国专利无效程序</w:t>
      </w:r>
    </w:p>
    <w:p w14:paraId="2BBD67FD" w14:textId="77777777" w:rsidR="00C66EF7" w:rsidRDefault="00C66EF7" w:rsidP="00C66EF7">
      <w:pPr>
        <w:pStyle w:val="af5"/>
        <w:numPr>
          <w:ilvl w:val="0"/>
          <w:numId w:val="12"/>
        </w:numPr>
        <w:spacing w:before="120"/>
        <w:ind w:left="690" w:hanging="240"/>
        <w:rPr>
          <w:rFonts w:ascii="宋体" w:eastAsia="宋体" w:hAnsi="Times New Roman"/>
          <w:color w:val="000000"/>
        </w:rPr>
      </w:pPr>
      <w:r w:rsidRPr="00C66EF7">
        <w:rPr>
          <w:rFonts w:ascii="宋体" w:eastAsia="宋体" w:hAnsi="Times New Roman" w:hint="eastAsia"/>
          <w:color w:val="000000"/>
        </w:rPr>
        <w:t>代表苹果处理其与西电捷通之间的标准必要专利许可纠纷，包括在北京知识产权法院的反垄断纠纷和</w:t>
      </w:r>
      <w:r w:rsidRPr="00C66EF7">
        <w:rPr>
          <w:rFonts w:ascii="宋体" w:eastAsia="宋体" w:hAnsi="Times New Roman"/>
          <w:color w:val="000000"/>
        </w:rPr>
        <w:t>FRAND许可条件纠纷、在陕西省高级人民法院的专利侵权纠纷、在国家知识产权局的专利无效纠纷等程序</w:t>
      </w:r>
    </w:p>
    <w:p w14:paraId="4BBA9A43" w14:textId="77777777" w:rsidR="00C66EF7" w:rsidRDefault="00C66EF7" w:rsidP="00C66EF7">
      <w:pPr>
        <w:pStyle w:val="af5"/>
        <w:numPr>
          <w:ilvl w:val="0"/>
          <w:numId w:val="13"/>
        </w:numPr>
        <w:spacing w:before="120"/>
        <w:ind w:left="690" w:hanging="240"/>
        <w:rPr>
          <w:rFonts w:ascii="宋体" w:eastAsia="宋体" w:hAnsi="Times New Roman"/>
          <w:color w:val="000000"/>
        </w:rPr>
      </w:pPr>
      <w:r w:rsidRPr="00C66EF7">
        <w:rPr>
          <w:rFonts w:ascii="宋体" w:eastAsia="宋体" w:hAnsi="Times New Roman" w:hint="eastAsia"/>
          <w:color w:val="000000"/>
        </w:rPr>
        <w:t>代表魅族处理其与高通之间就通信标准必要专利许可产生的纠纷</w:t>
      </w:r>
    </w:p>
    <w:p w14:paraId="59CEA38F" w14:textId="77777777" w:rsidR="00C66EF7" w:rsidRDefault="00C66EF7" w:rsidP="00C66EF7">
      <w:pPr>
        <w:pStyle w:val="af5"/>
        <w:numPr>
          <w:ilvl w:val="0"/>
          <w:numId w:val="14"/>
        </w:numPr>
        <w:spacing w:before="120"/>
        <w:ind w:left="690" w:hanging="240"/>
        <w:rPr>
          <w:rFonts w:ascii="宋体" w:eastAsia="宋体" w:hAnsi="Times New Roman"/>
          <w:color w:val="000000"/>
        </w:rPr>
      </w:pPr>
      <w:r w:rsidRPr="00C66EF7">
        <w:rPr>
          <w:rFonts w:ascii="宋体" w:eastAsia="宋体" w:hAnsi="Times New Roman" w:hint="eastAsia"/>
          <w:color w:val="000000"/>
        </w:rPr>
        <w:t>代表交互数字处理其与通信标准必要专利许可相关的里程碑案件，包括在深圳市中级人民法院的一审程序、在广东省高级人民法院的二审程序，以及向最高人民法院提起的通信标准必要专利许可费率计算的再审程序等</w:t>
      </w:r>
    </w:p>
    <w:p w14:paraId="39F104B9" w14:textId="77777777" w:rsidR="00C66EF7" w:rsidRDefault="00C66EF7" w:rsidP="00C66EF7">
      <w:pPr>
        <w:pStyle w:val="af5"/>
        <w:numPr>
          <w:ilvl w:val="0"/>
          <w:numId w:val="15"/>
        </w:numPr>
        <w:spacing w:before="120"/>
        <w:ind w:left="690" w:hanging="240"/>
        <w:rPr>
          <w:rFonts w:ascii="宋体" w:eastAsia="宋体" w:hAnsi="Times New Roman"/>
          <w:color w:val="000000"/>
        </w:rPr>
      </w:pPr>
      <w:r w:rsidRPr="00C66EF7">
        <w:rPr>
          <w:rFonts w:ascii="宋体" w:eastAsia="宋体" w:hAnsi="Times New Roman" w:hint="eastAsia"/>
          <w:color w:val="000000"/>
        </w:rPr>
        <w:t>代表某全球领先的美国网络平台服务商处理其与开发者、消费者之间的关于平台运营的多项反垄断纠纷案件，其中该美国公司被控滥用市场支配地位</w:t>
      </w:r>
    </w:p>
    <w:p w14:paraId="27B5FD25" w14:textId="77777777" w:rsidR="00C66EF7" w:rsidRDefault="00C66EF7" w:rsidP="00C66EF7">
      <w:pPr>
        <w:pStyle w:val="af5"/>
        <w:numPr>
          <w:ilvl w:val="0"/>
          <w:numId w:val="16"/>
        </w:numPr>
        <w:spacing w:before="120"/>
        <w:ind w:left="690" w:hanging="240"/>
        <w:rPr>
          <w:rFonts w:ascii="宋体" w:eastAsia="宋体" w:hAnsi="Times New Roman"/>
          <w:color w:val="000000"/>
        </w:rPr>
      </w:pPr>
      <w:r w:rsidRPr="00C66EF7">
        <w:rPr>
          <w:rFonts w:ascii="宋体" w:eastAsia="宋体" w:hAnsi="Times New Roman" w:hint="eastAsia"/>
          <w:color w:val="000000"/>
        </w:rPr>
        <w:t>代表某全球领先的智能手机制造商处理其手机配件市场相关的反垄断争议案件</w:t>
      </w:r>
    </w:p>
    <w:p w14:paraId="4EBDAB23" w14:textId="77777777" w:rsidR="00C66EF7" w:rsidRDefault="00C66EF7" w:rsidP="00C66EF7">
      <w:pPr>
        <w:pStyle w:val="af5"/>
        <w:numPr>
          <w:ilvl w:val="0"/>
          <w:numId w:val="17"/>
        </w:numPr>
        <w:spacing w:before="120"/>
        <w:ind w:left="690" w:hanging="240"/>
        <w:rPr>
          <w:rFonts w:ascii="宋体" w:eastAsia="宋体" w:hAnsi="Times New Roman"/>
          <w:color w:val="000000"/>
        </w:rPr>
      </w:pPr>
      <w:r w:rsidRPr="00C66EF7">
        <w:rPr>
          <w:rFonts w:ascii="宋体" w:eastAsia="宋体" w:hAnsi="Times New Roman" w:hint="eastAsia"/>
          <w:color w:val="000000"/>
        </w:rPr>
        <w:t>代表微软处理由一名美国</w:t>
      </w:r>
      <w:r w:rsidRPr="00C66EF7">
        <w:rPr>
          <w:rFonts w:ascii="宋体" w:eastAsia="宋体" w:hAnsi="Times New Roman"/>
          <w:color w:val="000000"/>
        </w:rPr>
        <w:t xml:space="preserve"> NPE 提起的与视频编码/解码技术相关的多项专利侵权、无效案件</w:t>
      </w:r>
    </w:p>
    <w:p w14:paraId="0457A2FD" w14:textId="77777777" w:rsidR="00C66EF7" w:rsidRDefault="00C66EF7" w:rsidP="00C66EF7">
      <w:pPr>
        <w:pStyle w:val="af5"/>
        <w:numPr>
          <w:ilvl w:val="0"/>
          <w:numId w:val="18"/>
        </w:numPr>
        <w:spacing w:before="120"/>
        <w:ind w:left="690" w:hanging="240"/>
        <w:rPr>
          <w:rFonts w:ascii="宋体" w:eastAsia="宋体" w:hAnsi="Times New Roman"/>
          <w:color w:val="000000"/>
        </w:rPr>
      </w:pPr>
      <w:r w:rsidRPr="00C66EF7">
        <w:rPr>
          <w:rFonts w:ascii="宋体" w:eastAsia="宋体" w:hAnsi="Times New Roman" w:hint="eastAsia"/>
          <w:color w:val="000000"/>
        </w:rPr>
        <w:t>代表某美国</w:t>
      </w:r>
      <w:r w:rsidRPr="00C66EF7">
        <w:rPr>
          <w:rFonts w:ascii="宋体" w:eastAsia="宋体" w:hAnsi="Times New Roman"/>
          <w:color w:val="000000"/>
        </w:rPr>
        <w:t xml:space="preserve"> RFID 标签制造商处理其与竞争对手之间与射频识别技术、芯片制造技术相关的一系列专利侵权与无效程序</w:t>
      </w:r>
    </w:p>
    <w:p w14:paraId="642DFB48" w14:textId="77777777" w:rsidR="00C66EF7" w:rsidRDefault="00C66EF7" w:rsidP="00C66EF7">
      <w:pPr>
        <w:pStyle w:val="af5"/>
        <w:numPr>
          <w:ilvl w:val="0"/>
          <w:numId w:val="19"/>
        </w:numPr>
        <w:spacing w:before="120"/>
        <w:ind w:left="690" w:hanging="240"/>
        <w:rPr>
          <w:rFonts w:ascii="宋体" w:eastAsia="宋体" w:hAnsi="Times New Roman"/>
          <w:color w:val="000000"/>
        </w:rPr>
      </w:pPr>
      <w:r w:rsidRPr="00C66EF7">
        <w:rPr>
          <w:rFonts w:ascii="宋体" w:eastAsia="宋体" w:hAnsi="Times New Roman" w:hint="eastAsia"/>
          <w:color w:val="000000"/>
        </w:rPr>
        <w:t>代表某全球领先的智能手机制造商处理涉及手机人脸识别技术、</w:t>
      </w:r>
      <w:r w:rsidRPr="00C66EF7">
        <w:rPr>
          <w:rFonts w:ascii="宋体" w:eastAsia="宋体" w:hAnsi="Times New Roman"/>
          <w:color w:val="000000"/>
        </w:rPr>
        <w:t>WLAN通信技术的多项专利侵权、无效案件</w:t>
      </w:r>
    </w:p>
    <w:p w14:paraId="765C0067" w14:textId="77777777" w:rsidR="00C66EF7" w:rsidRDefault="00C66EF7" w:rsidP="00C66EF7">
      <w:pPr>
        <w:pStyle w:val="af5"/>
        <w:numPr>
          <w:ilvl w:val="0"/>
          <w:numId w:val="20"/>
        </w:numPr>
        <w:spacing w:before="120"/>
        <w:ind w:left="690" w:hanging="240"/>
        <w:rPr>
          <w:rFonts w:ascii="宋体" w:eastAsia="宋体" w:hAnsi="Times New Roman"/>
          <w:color w:val="000000"/>
        </w:rPr>
      </w:pPr>
      <w:r w:rsidRPr="00C66EF7">
        <w:rPr>
          <w:rFonts w:ascii="宋体" w:eastAsia="宋体" w:hAnsi="Times New Roman" w:hint="eastAsia"/>
          <w:color w:val="000000"/>
        </w:rPr>
        <w:t>代表某国内领先的</w:t>
      </w:r>
      <w:r w:rsidRPr="00C66EF7">
        <w:rPr>
          <w:rFonts w:ascii="宋体" w:eastAsia="宋体" w:hAnsi="Times New Roman"/>
          <w:color w:val="000000"/>
        </w:rPr>
        <w:t xml:space="preserve"> CDN 服务提供商处理其与竞争对手之间的专利侵权、无效案件</w:t>
      </w:r>
    </w:p>
    <w:p w14:paraId="7483E331" w14:textId="77777777" w:rsidR="00C66EF7" w:rsidRDefault="00C66EF7" w:rsidP="00C66EF7">
      <w:pPr>
        <w:pStyle w:val="af5"/>
        <w:numPr>
          <w:ilvl w:val="0"/>
          <w:numId w:val="21"/>
        </w:numPr>
        <w:spacing w:before="120"/>
        <w:ind w:left="690" w:hanging="240"/>
        <w:rPr>
          <w:rFonts w:ascii="宋体" w:eastAsia="宋体" w:hAnsi="Times New Roman"/>
          <w:color w:val="000000"/>
        </w:rPr>
      </w:pPr>
      <w:r w:rsidRPr="00C66EF7">
        <w:rPr>
          <w:rFonts w:ascii="宋体" w:eastAsia="宋体" w:hAnsi="Times New Roman" w:hint="eastAsia"/>
          <w:color w:val="000000"/>
        </w:rPr>
        <w:t>代表苹果处理其网络平台相关的涉及网络服务提供商责任的著作权侵权纠纷系列案件</w:t>
      </w:r>
    </w:p>
    <w:p w14:paraId="795BE779" w14:textId="77777777" w:rsidR="00C66EF7" w:rsidRDefault="00C66EF7" w:rsidP="00C66EF7">
      <w:pPr>
        <w:pStyle w:val="af5"/>
        <w:numPr>
          <w:ilvl w:val="0"/>
          <w:numId w:val="22"/>
        </w:numPr>
        <w:spacing w:before="120"/>
        <w:ind w:left="690" w:hanging="240"/>
        <w:rPr>
          <w:rFonts w:ascii="宋体" w:eastAsia="宋体" w:hAnsi="Times New Roman"/>
          <w:color w:val="000000"/>
        </w:rPr>
      </w:pPr>
      <w:r w:rsidRPr="00C66EF7">
        <w:rPr>
          <w:rFonts w:ascii="宋体" w:eastAsia="宋体" w:hAnsi="Times New Roman" w:hint="eastAsia"/>
          <w:color w:val="000000"/>
        </w:rPr>
        <w:t>代表某英国知名化工企业作为原告提起系列商业秘密侵权诉讼，涉及诉讼标的额超过十亿元人民币</w:t>
      </w:r>
    </w:p>
    <w:p w14:paraId="6A0BCA7D" w14:textId="77777777" w:rsidR="00C66EF7" w:rsidRDefault="00C66EF7" w:rsidP="00C66EF7">
      <w:pPr>
        <w:pStyle w:val="af5"/>
        <w:spacing w:before="120"/>
        <w:rPr>
          <w:rFonts w:ascii="宋体" w:eastAsia="宋体" w:hAnsi="Times New Roman"/>
          <w:color w:val="000000"/>
        </w:rPr>
      </w:pPr>
      <w:r w:rsidRPr="00C66EF7">
        <w:rPr>
          <w:rFonts w:ascii="宋体" w:eastAsia="宋体" w:hAnsi="Times New Roman" w:hint="eastAsia"/>
          <w:color w:val="000000"/>
        </w:rPr>
        <w:t>非诉案例</w:t>
      </w:r>
    </w:p>
    <w:p w14:paraId="17169790" w14:textId="77777777" w:rsidR="00C66EF7" w:rsidRDefault="00C66EF7" w:rsidP="00C66EF7">
      <w:pPr>
        <w:pStyle w:val="af5"/>
        <w:numPr>
          <w:ilvl w:val="0"/>
          <w:numId w:val="23"/>
        </w:numPr>
        <w:spacing w:before="120"/>
        <w:ind w:left="690" w:hanging="240"/>
        <w:rPr>
          <w:rFonts w:ascii="宋体" w:eastAsia="宋体" w:hAnsi="Times New Roman"/>
          <w:color w:val="000000"/>
        </w:rPr>
      </w:pPr>
      <w:r w:rsidRPr="00C66EF7">
        <w:rPr>
          <w:rFonts w:ascii="宋体" w:eastAsia="宋体" w:hAnsi="Times New Roman" w:hint="eastAsia"/>
          <w:color w:val="000000"/>
        </w:rPr>
        <w:t>代表某全球领先的娱乐公司就著作权许可提供法律意见及代表该公司进行谈判</w:t>
      </w:r>
    </w:p>
    <w:p w14:paraId="4506B26D" w14:textId="77777777" w:rsidR="00C66EF7" w:rsidRDefault="00C66EF7" w:rsidP="00C66EF7">
      <w:pPr>
        <w:pStyle w:val="af5"/>
        <w:numPr>
          <w:ilvl w:val="0"/>
          <w:numId w:val="24"/>
        </w:numPr>
        <w:spacing w:before="120"/>
        <w:ind w:left="690" w:hanging="240"/>
        <w:rPr>
          <w:rFonts w:ascii="宋体" w:eastAsia="宋体" w:hAnsi="Times New Roman"/>
          <w:color w:val="000000"/>
        </w:rPr>
      </w:pPr>
      <w:r w:rsidRPr="00C66EF7">
        <w:rPr>
          <w:rFonts w:ascii="宋体" w:eastAsia="宋体" w:hAnsi="Times New Roman" w:hint="eastAsia"/>
          <w:color w:val="000000"/>
        </w:rPr>
        <w:t>代表某欧洲的领先能源企业在其与商业伙伴的全球知识产权许可与研发项目中设计许可架构、参与谈判、提供法律意见及谈判策略建议</w:t>
      </w:r>
    </w:p>
    <w:p w14:paraId="46FAD6AA" w14:textId="77777777" w:rsidR="00C66EF7" w:rsidRDefault="00C66EF7" w:rsidP="00C66EF7">
      <w:pPr>
        <w:pStyle w:val="af5"/>
        <w:numPr>
          <w:ilvl w:val="0"/>
          <w:numId w:val="25"/>
        </w:numPr>
        <w:spacing w:before="120"/>
        <w:ind w:left="690" w:hanging="240"/>
        <w:rPr>
          <w:rFonts w:ascii="宋体" w:eastAsia="宋体" w:hAnsi="Times New Roman"/>
          <w:color w:val="000000"/>
        </w:rPr>
      </w:pPr>
      <w:r w:rsidRPr="00C66EF7">
        <w:rPr>
          <w:rFonts w:ascii="宋体" w:eastAsia="宋体" w:hAnsi="Times New Roman" w:hint="eastAsia"/>
          <w:color w:val="000000"/>
        </w:rPr>
        <w:t>代表某芯片研发企业就其作为被许可人获得某</w:t>
      </w:r>
      <w:r w:rsidRPr="00C66EF7">
        <w:rPr>
          <w:rFonts w:ascii="宋体" w:eastAsia="宋体" w:hAnsi="Times New Roman"/>
          <w:color w:val="000000"/>
        </w:rPr>
        <w:t>IP Core许可的项目中就许可协议安排和谈判策略提供法律意见</w:t>
      </w:r>
    </w:p>
    <w:p w14:paraId="1A59CFBA" w14:textId="77777777" w:rsidR="00C66EF7" w:rsidRDefault="00C66EF7" w:rsidP="00C66EF7">
      <w:pPr>
        <w:pStyle w:val="af5"/>
        <w:numPr>
          <w:ilvl w:val="0"/>
          <w:numId w:val="26"/>
        </w:numPr>
        <w:spacing w:before="120"/>
        <w:ind w:left="690" w:hanging="240"/>
        <w:rPr>
          <w:rFonts w:ascii="宋体" w:eastAsia="宋体" w:hAnsi="Times New Roman"/>
          <w:color w:val="000000"/>
        </w:rPr>
      </w:pPr>
      <w:r w:rsidRPr="00C66EF7">
        <w:rPr>
          <w:rFonts w:ascii="宋体" w:eastAsia="宋体" w:hAnsi="Times New Roman" w:hint="eastAsia"/>
          <w:color w:val="000000"/>
        </w:rPr>
        <w:t>代表某欧洲领先废料处理企业就其业务剥离后的软件许可项目中参与谈判、并提供法律意见及谈判策略建议</w:t>
      </w:r>
    </w:p>
    <w:p w14:paraId="3C25E083" w14:textId="77777777" w:rsidR="00C66EF7" w:rsidRDefault="00C66EF7" w:rsidP="00C66EF7">
      <w:pPr>
        <w:pStyle w:val="af5"/>
        <w:numPr>
          <w:ilvl w:val="0"/>
          <w:numId w:val="27"/>
        </w:numPr>
        <w:spacing w:before="120"/>
        <w:ind w:left="690" w:hanging="240"/>
        <w:rPr>
          <w:rFonts w:ascii="宋体" w:eastAsia="宋体" w:hAnsi="Times New Roman"/>
          <w:color w:val="000000"/>
        </w:rPr>
      </w:pPr>
      <w:r w:rsidRPr="00C66EF7">
        <w:rPr>
          <w:rFonts w:ascii="宋体" w:eastAsia="宋体" w:hAnsi="Times New Roman" w:hint="eastAsia"/>
          <w:color w:val="000000"/>
        </w:rPr>
        <w:t>代表某国内领先互联网企业在其与某跨国企业的专利许可项目中参与谈判、并提供法律意见及谈判策略建议</w:t>
      </w:r>
    </w:p>
    <w:p w14:paraId="171510C0" w14:textId="77777777" w:rsidR="00C66EF7" w:rsidRDefault="00C66EF7" w:rsidP="00C66EF7">
      <w:pPr>
        <w:pStyle w:val="af5"/>
        <w:numPr>
          <w:ilvl w:val="0"/>
          <w:numId w:val="28"/>
        </w:numPr>
        <w:spacing w:before="120"/>
        <w:ind w:left="690" w:hanging="240"/>
        <w:rPr>
          <w:rFonts w:ascii="宋体" w:eastAsia="宋体" w:hAnsi="Times New Roman"/>
          <w:color w:val="000000"/>
        </w:rPr>
      </w:pPr>
      <w:r w:rsidRPr="00C66EF7">
        <w:rPr>
          <w:rFonts w:ascii="宋体" w:eastAsia="宋体" w:hAnsi="Times New Roman" w:hint="eastAsia"/>
          <w:color w:val="000000"/>
        </w:rPr>
        <w:t>代表某欧洲食品企业就其食品配方专利在业务剥离后的许可安排提供法律意见。代表某国内知名超声骨刀企业就其与美国知名医疗器械企业的技术许可合作进行谈判、设计合同架构并提供法律意见</w:t>
      </w:r>
    </w:p>
    <w:p w14:paraId="135BEA30" w14:textId="77777777" w:rsidR="00C66EF7" w:rsidRDefault="00C66EF7" w:rsidP="00C66EF7">
      <w:pPr>
        <w:pStyle w:val="af5"/>
        <w:spacing w:after="0" w:line="480" w:lineRule="auto"/>
        <w:rPr>
          <w:rFonts w:ascii="宋体" w:eastAsia="宋体" w:hAnsi="宋体"/>
          <w:b/>
          <w:sz w:val="24"/>
        </w:rPr>
      </w:pPr>
      <w:r w:rsidRPr="00C66EF7">
        <w:rPr>
          <w:rFonts w:ascii="宋体" w:eastAsia="宋体" w:hAnsi="宋体" w:hint="eastAsia"/>
          <w:b/>
          <w:sz w:val="24"/>
        </w:rPr>
        <w:t>教育背景</w:t>
      </w:r>
    </w:p>
    <w:p w14:paraId="124113C7" w14:textId="77777777" w:rsidR="00C66EF7" w:rsidRDefault="00C66EF7" w:rsidP="00C66EF7">
      <w:pPr>
        <w:pStyle w:val="af5"/>
        <w:numPr>
          <w:ilvl w:val="0"/>
          <w:numId w:val="29"/>
        </w:numPr>
        <w:spacing w:before="120"/>
        <w:ind w:left="690" w:hanging="240"/>
        <w:rPr>
          <w:rFonts w:ascii="宋体" w:eastAsia="宋体" w:hAnsi="Times New Roman"/>
          <w:color w:val="000000"/>
        </w:rPr>
      </w:pPr>
      <w:r w:rsidRPr="00C66EF7">
        <w:rPr>
          <w:rFonts w:ascii="宋体" w:eastAsia="宋体" w:hAnsi="Times New Roman" w:hint="eastAsia"/>
          <w:color w:val="000000"/>
        </w:rPr>
        <w:t>牛津大学，</w:t>
      </w:r>
      <w:r w:rsidRPr="00C66EF7">
        <w:rPr>
          <w:rFonts w:ascii="宋体" w:eastAsia="宋体" w:hAnsi="Times New Roman"/>
          <w:color w:val="000000"/>
        </w:rPr>
        <w:t>Christ Church 学院，Magister Juris（2015-2016）</w:t>
      </w:r>
    </w:p>
    <w:p w14:paraId="3A0D4227" w14:textId="77777777" w:rsidR="00C66EF7" w:rsidRDefault="00C66EF7" w:rsidP="00C66EF7">
      <w:pPr>
        <w:pStyle w:val="af5"/>
        <w:numPr>
          <w:ilvl w:val="0"/>
          <w:numId w:val="30"/>
        </w:numPr>
        <w:spacing w:before="120"/>
        <w:ind w:left="690" w:hanging="240"/>
        <w:rPr>
          <w:rFonts w:ascii="宋体" w:eastAsia="宋体" w:hAnsi="Times New Roman"/>
          <w:color w:val="000000"/>
        </w:rPr>
      </w:pPr>
      <w:r w:rsidRPr="00C66EF7">
        <w:rPr>
          <w:rFonts w:ascii="宋体" w:eastAsia="宋体" w:hAnsi="Times New Roman" w:hint="eastAsia"/>
          <w:color w:val="000000"/>
        </w:rPr>
        <w:t>北京大学，国际法学院，中国法法律硕士与美国法</w:t>
      </w:r>
      <w:r w:rsidRPr="00C66EF7">
        <w:rPr>
          <w:rFonts w:ascii="宋体" w:eastAsia="宋体" w:hAnsi="Times New Roman"/>
          <w:color w:val="000000"/>
        </w:rPr>
        <w:t xml:space="preserve"> J.D（2008-2012）</w:t>
      </w:r>
    </w:p>
    <w:p w14:paraId="7D14F207" w14:textId="77777777" w:rsidR="00C66EF7" w:rsidRDefault="00C66EF7" w:rsidP="00C66EF7">
      <w:pPr>
        <w:pStyle w:val="af5"/>
        <w:numPr>
          <w:ilvl w:val="0"/>
          <w:numId w:val="31"/>
        </w:numPr>
        <w:spacing w:before="120"/>
        <w:ind w:left="690" w:hanging="240"/>
        <w:rPr>
          <w:rFonts w:ascii="宋体" w:eastAsia="宋体" w:hAnsi="Times New Roman"/>
          <w:color w:val="000000"/>
        </w:rPr>
      </w:pPr>
      <w:r w:rsidRPr="00C66EF7">
        <w:rPr>
          <w:rFonts w:ascii="宋体" w:eastAsia="宋体" w:hAnsi="Times New Roman" w:hint="eastAsia"/>
          <w:color w:val="000000"/>
        </w:rPr>
        <w:t>北京工业大学，电子信息与控制工程学院，电子科学与技术专业、工学学士（</w:t>
      </w:r>
      <w:r w:rsidRPr="00C66EF7">
        <w:rPr>
          <w:rFonts w:ascii="宋体" w:eastAsia="宋体" w:hAnsi="Times New Roman"/>
          <w:color w:val="000000"/>
        </w:rPr>
        <w:t>2002-2006）</w:t>
      </w:r>
    </w:p>
    <w:p w14:paraId="65E90E38" w14:textId="77777777" w:rsidR="00C66EF7" w:rsidRDefault="00C66EF7" w:rsidP="00C66EF7">
      <w:pPr>
        <w:pStyle w:val="af5"/>
        <w:spacing w:after="0" w:line="480" w:lineRule="auto"/>
        <w:rPr>
          <w:rFonts w:ascii="宋体" w:eastAsia="宋体" w:hAnsi="宋体"/>
          <w:b/>
          <w:sz w:val="24"/>
        </w:rPr>
      </w:pPr>
      <w:r w:rsidRPr="00C66EF7">
        <w:rPr>
          <w:rFonts w:ascii="宋体" w:eastAsia="宋体" w:hAnsi="宋体" w:hint="eastAsia"/>
          <w:b/>
          <w:sz w:val="24"/>
        </w:rPr>
        <w:t>执业资格</w:t>
      </w:r>
    </w:p>
    <w:p w14:paraId="00D719ED" w14:textId="77777777" w:rsidR="00C66EF7" w:rsidRDefault="00C66EF7" w:rsidP="00C66EF7">
      <w:pPr>
        <w:pStyle w:val="af5"/>
        <w:numPr>
          <w:ilvl w:val="0"/>
          <w:numId w:val="32"/>
        </w:numPr>
        <w:spacing w:before="120"/>
        <w:ind w:left="690" w:hanging="240"/>
        <w:rPr>
          <w:rFonts w:ascii="宋体" w:eastAsia="宋体" w:hAnsi="Times New Roman"/>
          <w:color w:val="000000"/>
        </w:rPr>
      </w:pPr>
      <w:r w:rsidRPr="00C66EF7">
        <w:rPr>
          <w:rFonts w:ascii="宋体" w:eastAsia="宋体" w:hAnsi="Times New Roman" w:hint="eastAsia"/>
          <w:color w:val="000000"/>
        </w:rPr>
        <w:t>中华人民共和国执业律师</w:t>
      </w:r>
    </w:p>
    <w:p w14:paraId="2C0FD7FD" w14:textId="77777777" w:rsidR="00C66EF7" w:rsidRDefault="00C66EF7" w:rsidP="00C66EF7">
      <w:pPr>
        <w:pStyle w:val="af5"/>
        <w:numPr>
          <w:ilvl w:val="0"/>
          <w:numId w:val="33"/>
        </w:numPr>
        <w:spacing w:before="120"/>
        <w:ind w:left="690" w:hanging="240"/>
        <w:rPr>
          <w:rFonts w:ascii="宋体" w:eastAsia="宋体" w:hAnsi="Times New Roman"/>
          <w:color w:val="000000"/>
        </w:rPr>
      </w:pPr>
      <w:r w:rsidRPr="00C66EF7">
        <w:rPr>
          <w:rFonts w:ascii="宋体" w:eastAsia="宋体" w:hAnsi="Times New Roman" w:hint="eastAsia"/>
          <w:color w:val="000000"/>
        </w:rPr>
        <w:t>中华人民共和国执业专利代理师</w:t>
      </w:r>
    </w:p>
    <w:p w14:paraId="3817E624" w14:textId="77777777" w:rsidR="00C66EF7" w:rsidRDefault="00C66EF7" w:rsidP="00C66EF7">
      <w:pPr>
        <w:pStyle w:val="af5"/>
        <w:spacing w:after="0" w:line="480" w:lineRule="auto"/>
        <w:rPr>
          <w:rFonts w:ascii="宋体" w:eastAsia="宋体" w:hAnsi="宋体"/>
          <w:b/>
          <w:sz w:val="24"/>
        </w:rPr>
      </w:pPr>
      <w:r w:rsidRPr="00C66EF7">
        <w:rPr>
          <w:rFonts w:ascii="宋体" w:eastAsia="宋体" w:hAnsi="宋体" w:hint="eastAsia"/>
          <w:b/>
          <w:sz w:val="24"/>
        </w:rPr>
        <w:t>工作语言</w:t>
      </w:r>
    </w:p>
    <w:p w14:paraId="70D7957C" w14:textId="77777777" w:rsidR="00C66EF7" w:rsidRDefault="00C66EF7" w:rsidP="00C66EF7">
      <w:pPr>
        <w:pStyle w:val="af5"/>
        <w:numPr>
          <w:ilvl w:val="0"/>
          <w:numId w:val="34"/>
        </w:numPr>
        <w:spacing w:before="120"/>
        <w:ind w:left="690" w:hanging="240"/>
        <w:rPr>
          <w:rFonts w:ascii="宋体" w:eastAsia="宋体" w:hAnsi="Times New Roman"/>
          <w:color w:val="000000"/>
        </w:rPr>
      </w:pPr>
      <w:r w:rsidRPr="00C66EF7">
        <w:rPr>
          <w:rFonts w:ascii="宋体" w:eastAsia="宋体" w:hAnsi="Times New Roman" w:hint="eastAsia"/>
          <w:color w:val="000000"/>
        </w:rPr>
        <w:t>中文</w:t>
      </w:r>
    </w:p>
    <w:p w14:paraId="6512577C" w14:textId="77777777" w:rsidR="00C66EF7" w:rsidRDefault="00C66EF7" w:rsidP="00C66EF7">
      <w:pPr>
        <w:pStyle w:val="af5"/>
        <w:numPr>
          <w:ilvl w:val="0"/>
          <w:numId w:val="35"/>
        </w:numPr>
        <w:spacing w:before="120"/>
        <w:ind w:left="690" w:hanging="240"/>
        <w:rPr>
          <w:rFonts w:ascii="宋体" w:eastAsia="宋体" w:hAnsi="Times New Roman"/>
          <w:color w:val="000000"/>
        </w:rPr>
      </w:pPr>
      <w:r w:rsidRPr="00C66EF7">
        <w:rPr>
          <w:rFonts w:ascii="宋体" w:eastAsia="宋体" w:hAnsi="Times New Roman" w:hint="eastAsia"/>
          <w:color w:val="000000"/>
        </w:rPr>
        <w:t>英文</w:t>
      </w:r>
    </w:p>
    <w:p w14:paraId="559ED223" w14:textId="77777777" w:rsidR="00C66EF7" w:rsidRDefault="00C66EF7" w:rsidP="00C66EF7">
      <w:pPr>
        <w:pStyle w:val="af5"/>
        <w:spacing w:after="0" w:line="480" w:lineRule="auto"/>
        <w:rPr>
          <w:rFonts w:ascii="宋体" w:eastAsia="宋体" w:hAnsi="宋体"/>
          <w:b/>
          <w:sz w:val="24"/>
        </w:rPr>
      </w:pPr>
      <w:r w:rsidRPr="00C66EF7">
        <w:rPr>
          <w:rFonts w:ascii="宋体" w:eastAsia="宋体" w:hAnsi="宋体" w:hint="eastAsia"/>
          <w:b/>
          <w:sz w:val="24"/>
        </w:rPr>
        <w:t>其他信息</w:t>
      </w:r>
    </w:p>
    <w:p w14:paraId="27B0A861" w14:textId="77777777" w:rsidR="00C66EF7" w:rsidRDefault="00C66EF7" w:rsidP="00C66EF7">
      <w:pPr>
        <w:pStyle w:val="af5"/>
        <w:spacing w:after="0" w:line="480" w:lineRule="auto"/>
        <w:rPr>
          <w:rFonts w:ascii="宋体" w:eastAsia="宋体" w:hAnsi="宋体"/>
          <w:b/>
          <w:sz w:val="24"/>
        </w:rPr>
      </w:pPr>
      <w:r w:rsidRPr="00C66EF7">
        <w:rPr>
          <w:rFonts w:ascii="宋体" w:eastAsia="宋体" w:hAnsi="宋体" w:hint="eastAsia"/>
          <w:b/>
          <w:sz w:val="24"/>
        </w:rPr>
        <w:t>讲演</w:t>
      </w:r>
    </w:p>
    <w:p w14:paraId="3BB33164" w14:textId="77777777" w:rsidR="00C66EF7" w:rsidRDefault="00C66EF7" w:rsidP="00C66EF7">
      <w:pPr>
        <w:pStyle w:val="af5"/>
        <w:numPr>
          <w:ilvl w:val="0"/>
          <w:numId w:val="36"/>
        </w:numPr>
        <w:spacing w:before="120"/>
        <w:ind w:left="690" w:hanging="240"/>
        <w:rPr>
          <w:rFonts w:ascii="宋体" w:eastAsia="宋体" w:hAnsi="Times New Roman"/>
          <w:color w:val="000000"/>
        </w:rPr>
      </w:pPr>
      <w:r w:rsidRPr="00C66EF7">
        <w:rPr>
          <w:rFonts w:ascii="宋体" w:eastAsia="宋体" w:hAnsi="Times New Roman"/>
          <w:color w:val="000000"/>
        </w:rPr>
        <w:t xml:space="preserve">参加第七届中国医药知识产权峰会并发表《药品专利的前沿反垄断问题》主题演讲 </w:t>
      </w:r>
    </w:p>
    <w:p w14:paraId="4890409F" w14:textId="77777777" w:rsidR="00C66EF7" w:rsidRDefault="00C66EF7" w:rsidP="00C66EF7">
      <w:pPr>
        <w:pStyle w:val="af5"/>
        <w:numPr>
          <w:ilvl w:val="0"/>
          <w:numId w:val="37"/>
        </w:numPr>
        <w:spacing w:before="120"/>
        <w:ind w:left="690" w:hanging="240"/>
        <w:rPr>
          <w:rFonts w:ascii="宋体" w:eastAsia="宋体" w:hAnsi="Times New Roman"/>
          <w:color w:val="000000"/>
        </w:rPr>
      </w:pPr>
      <w:r w:rsidRPr="00C66EF7">
        <w:rPr>
          <w:rFonts w:ascii="宋体" w:eastAsia="宋体" w:hAnsi="Times New Roman"/>
          <w:color w:val="000000"/>
        </w:rPr>
        <w:t xml:space="preserve">作为小组嘉宾参与由美国联邦巡回律师协会（Federal Circuit Bar Association）主办的关于全球标准必要专利实践的小组讨论并发言 </w:t>
      </w:r>
    </w:p>
    <w:p w14:paraId="0F66B8A7" w14:textId="77777777" w:rsidR="00C66EF7" w:rsidRDefault="00C66EF7" w:rsidP="00C66EF7">
      <w:pPr>
        <w:pStyle w:val="af5"/>
        <w:numPr>
          <w:ilvl w:val="0"/>
          <w:numId w:val="38"/>
        </w:numPr>
        <w:spacing w:before="120"/>
        <w:ind w:left="690" w:hanging="240"/>
        <w:rPr>
          <w:rFonts w:ascii="宋体" w:eastAsia="宋体" w:hAnsi="Times New Roman"/>
          <w:color w:val="000000"/>
        </w:rPr>
      </w:pPr>
      <w:r w:rsidRPr="00C66EF7">
        <w:rPr>
          <w:rFonts w:ascii="宋体" w:eastAsia="宋体" w:hAnsi="Times New Roman"/>
          <w:color w:val="000000"/>
        </w:rPr>
        <w:t xml:space="preserve">Global Series on December 8, 2020: Patent Enforcement: Global Strategies </w:t>
      </w:r>
    </w:p>
    <w:p w14:paraId="1D41DB41" w14:textId="77777777" w:rsidR="00C66EF7" w:rsidRDefault="00C66EF7" w:rsidP="00C66EF7">
      <w:pPr>
        <w:pStyle w:val="af5"/>
        <w:numPr>
          <w:ilvl w:val="0"/>
          <w:numId w:val="39"/>
        </w:numPr>
        <w:spacing w:before="120"/>
        <w:ind w:left="690" w:hanging="240"/>
        <w:rPr>
          <w:rFonts w:ascii="宋体" w:eastAsia="宋体" w:hAnsi="Times New Roman"/>
          <w:color w:val="000000"/>
        </w:rPr>
      </w:pPr>
      <w:r w:rsidRPr="00C66EF7">
        <w:rPr>
          <w:rFonts w:ascii="宋体" w:eastAsia="宋体" w:hAnsi="Times New Roman"/>
          <w:color w:val="000000"/>
        </w:rPr>
        <w:t>Global Series on March 30, 2021: SEP/FRAND Challenges: The Gate to Tomorrow or Innovation</w:t>
      </w:r>
      <w:r w:rsidRPr="00C66EF7">
        <w:rPr>
          <w:rFonts w:ascii="宋体" w:eastAsia="宋体" w:hAnsi="Times New Roman"/>
          <w:color w:val="000000"/>
        </w:rPr>
        <w:t>’</w:t>
      </w:r>
      <w:r w:rsidRPr="00C66EF7">
        <w:rPr>
          <w:rFonts w:ascii="宋体" w:eastAsia="宋体" w:hAnsi="Times New Roman"/>
          <w:color w:val="000000"/>
        </w:rPr>
        <w:t xml:space="preserve">s Unmaking? </w:t>
      </w:r>
    </w:p>
    <w:p w14:paraId="69A3FDF8" w14:textId="77777777" w:rsidR="00C66EF7" w:rsidRDefault="00C66EF7" w:rsidP="00C66EF7">
      <w:pPr>
        <w:pStyle w:val="af5"/>
        <w:spacing w:after="0" w:line="480" w:lineRule="auto"/>
        <w:rPr>
          <w:rFonts w:ascii="宋体" w:eastAsia="宋体" w:hAnsi="宋体"/>
          <w:b/>
          <w:sz w:val="24"/>
        </w:rPr>
      </w:pPr>
      <w:r w:rsidRPr="00C66EF7">
        <w:rPr>
          <w:rFonts w:ascii="宋体" w:eastAsia="宋体" w:hAnsi="宋体" w:hint="eastAsia"/>
          <w:b/>
          <w:sz w:val="24"/>
        </w:rPr>
        <w:t>出版物</w:t>
      </w:r>
    </w:p>
    <w:p w14:paraId="03BC87C0" w14:textId="77777777" w:rsidR="00C66EF7" w:rsidRDefault="00C66EF7" w:rsidP="00C66EF7">
      <w:pPr>
        <w:pStyle w:val="af5"/>
        <w:numPr>
          <w:ilvl w:val="0"/>
          <w:numId w:val="40"/>
        </w:numPr>
        <w:spacing w:before="120"/>
        <w:ind w:left="690" w:hanging="240"/>
        <w:rPr>
          <w:rFonts w:ascii="宋体" w:eastAsia="宋体" w:hAnsi="Times New Roman"/>
          <w:color w:val="000000"/>
        </w:rPr>
      </w:pPr>
      <w:r w:rsidRPr="00C66EF7">
        <w:rPr>
          <w:rFonts w:ascii="宋体" w:eastAsia="宋体" w:hAnsi="Times New Roman"/>
          <w:color w:val="000000"/>
        </w:rPr>
        <w:t xml:space="preserve">《专利侵权纠纷中帮助侵权的构成与专用的判断》，2022年5月9日 </w:t>
      </w:r>
    </w:p>
    <w:p w14:paraId="4F0A196B" w14:textId="77E1C158" w:rsidR="00A46A04" w:rsidRPr="00C66EF7" w:rsidRDefault="00C66EF7" w:rsidP="00C66EF7">
      <w:pPr>
        <w:pStyle w:val="af5"/>
        <w:numPr>
          <w:ilvl w:val="0"/>
          <w:numId w:val="41"/>
        </w:numPr>
        <w:spacing w:before="120"/>
        <w:ind w:left="690" w:hanging="240"/>
        <w:rPr>
          <w:rFonts w:ascii="宋体" w:eastAsia="宋体" w:hAnsi="Times New Roman"/>
          <w:color w:val="000000"/>
        </w:rPr>
      </w:pPr>
      <w:r w:rsidRPr="00C66EF7">
        <w:rPr>
          <w:rFonts w:ascii="宋体" w:eastAsia="宋体" w:hAnsi="Times New Roman"/>
          <w:color w:val="000000"/>
        </w:rPr>
        <w:t xml:space="preserve">《必需设施理论与商业必需专利》，刊于《竞争法律与政策评论》第七卷 </w:t>
      </w:r>
    </w:p>
    <w:sectPr w:rsidR="00A46A04" w:rsidRPr="00C66EF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5ED"/>
    <w:multiLevelType w:val="singleLevel"/>
    <w:tmpl w:val="A54A92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501DB"/>
    <w:multiLevelType w:val="singleLevel"/>
    <w:tmpl w:val="07441F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6B29FD"/>
    <w:multiLevelType w:val="singleLevel"/>
    <w:tmpl w:val="8BD842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1A7439"/>
    <w:multiLevelType w:val="singleLevel"/>
    <w:tmpl w:val="7FAEC3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E574B8"/>
    <w:multiLevelType w:val="singleLevel"/>
    <w:tmpl w:val="155EFC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1802EB"/>
    <w:multiLevelType w:val="singleLevel"/>
    <w:tmpl w:val="9FBA2F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33445E"/>
    <w:multiLevelType w:val="singleLevel"/>
    <w:tmpl w:val="558440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3358FE"/>
    <w:multiLevelType w:val="singleLevel"/>
    <w:tmpl w:val="DCE4D8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C44F30"/>
    <w:multiLevelType w:val="singleLevel"/>
    <w:tmpl w:val="BDF2A1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0E53D6"/>
    <w:multiLevelType w:val="singleLevel"/>
    <w:tmpl w:val="4888DE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E72749"/>
    <w:multiLevelType w:val="singleLevel"/>
    <w:tmpl w:val="2D8CDB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68217F"/>
    <w:multiLevelType w:val="singleLevel"/>
    <w:tmpl w:val="0AF4A8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F01B1D"/>
    <w:multiLevelType w:val="singleLevel"/>
    <w:tmpl w:val="0E2A9F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F81587"/>
    <w:multiLevelType w:val="singleLevel"/>
    <w:tmpl w:val="9FC492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0C1592"/>
    <w:multiLevelType w:val="singleLevel"/>
    <w:tmpl w:val="601A52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4C4BF1"/>
    <w:multiLevelType w:val="singleLevel"/>
    <w:tmpl w:val="76B6B0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912D17"/>
    <w:multiLevelType w:val="singleLevel"/>
    <w:tmpl w:val="CB7E3A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440137"/>
    <w:multiLevelType w:val="singleLevel"/>
    <w:tmpl w:val="758ACC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984E4E"/>
    <w:multiLevelType w:val="singleLevel"/>
    <w:tmpl w:val="429A904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9349B7"/>
    <w:multiLevelType w:val="singleLevel"/>
    <w:tmpl w:val="9BE4025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F71D28"/>
    <w:multiLevelType w:val="singleLevel"/>
    <w:tmpl w:val="1090A5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C6102D1"/>
    <w:multiLevelType w:val="singleLevel"/>
    <w:tmpl w:val="5584409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EC51B4"/>
    <w:multiLevelType w:val="singleLevel"/>
    <w:tmpl w:val="CBF86B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4050FC"/>
    <w:multiLevelType w:val="singleLevel"/>
    <w:tmpl w:val="A5E27B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511DFC"/>
    <w:multiLevelType w:val="singleLevel"/>
    <w:tmpl w:val="1D04AD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8C5E0F"/>
    <w:multiLevelType w:val="singleLevel"/>
    <w:tmpl w:val="6C82469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8246BE"/>
    <w:multiLevelType w:val="singleLevel"/>
    <w:tmpl w:val="7A9080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0A40CB"/>
    <w:multiLevelType w:val="singleLevel"/>
    <w:tmpl w:val="196CB0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A75A09"/>
    <w:multiLevelType w:val="singleLevel"/>
    <w:tmpl w:val="FB2C93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A26643"/>
    <w:multiLevelType w:val="singleLevel"/>
    <w:tmpl w:val="BFA4A6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B55E5F"/>
    <w:multiLevelType w:val="singleLevel"/>
    <w:tmpl w:val="2CEEEB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F54CF0"/>
    <w:multiLevelType w:val="singleLevel"/>
    <w:tmpl w:val="5C520A3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243E6A"/>
    <w:multiLevelType w:val="singleLevel"/>
    <w:tmpl w:val="A79C838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30544F5"/>
    <w:multiLevelType w:val="singleLevel"/>
    <w:tmpl w:val="EEF81F4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5816FE"/>
    <w:multiLevelType w:val="singleLevel"/>
    <w:tmpl w:val="BA1A17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54195E"/>
    <w:multiLevelType w:val="singleLevel"/>
    <w:tmpl w:val="DEA4CE7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5803D4"/>
    <w:multiLevelType w:val="singleLevel"/>
    <w:tmpl w:val="7AE418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B618E3"/>
    <w:multiLevelType w:val="singleLevel"/>
    <w:tmpl w:val="0E0C578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B66532"/>
    <w:multiLevelType w:val="singleLevel"/>
    <w:tmpl w:val="D6C606AA"/>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25"/>
  </w:num>
  <w:num w:numId="4">
    <w:abstractNumId w:val="40"/>
  </w:num>
  <w:num w:numId="5">
    <w:abstractNumId w:val="5"/>
  </w:num>
  <w:num w:numId="6">
    <w:abstractNumId w:val="24"/>
  </w:num>
  <w:num w:numId="7">
    <w:abstractNumId w:val="11"/>
  </w:num>
  <w:num w:numId="8">
    <w:abstractNumId w:val="38"/>
  </w:num>
  <w:num w:numId="9">
    <w:abstractNumId w:val="27"/>
  </w:num>
  <w:num w:numId="10">
    <w:abstractNumId w:val="21"/>
  </w:num>
  <w:num w:numId="11">
    <w:abstractNumId w:val="2"/>
  </w:num>
  <w:num w:numId="12">
    <w:abstractNumId w:val="4"/>
  </w:num>
  <w:num w:numId="13">
    <w:abstractNumId w:val="35"/>
  </w:num>
  <w:num w:numId="14">
    <w:abstractNumId w:val="15"/>
  </w:num>
  <w:num w:numId="15">
    <w:abstractNumId w:val="16"/>
  </w:num>
  <w:num w:numId="16">
    <w:abstractNumId w:val="9"/>
  </w:num>
  <w:num w:numId="17">
    <w:abstractNumId w:val="18"/>
  </w:num>
  <w:num w:numId="18">
    <w:abstractNumId w:val="14"/>
  </w:num>
  <w:num w:numId="19">
    <w:abstractNumId w:val="0"/>
  </w:num>
  <w:num w:numId="20">
    <w:abstractNumId w:val="12"/>
  </w:num>
  <w:num w:numId="21">
    <w:abstractNumId w:val="33"/>
  </w:num>
  <w:num w:numId="22">
    <w:abstractNumId w:val="34"/>
  </w:num>
  <w:num w:numId="23">
    <w:abstractNumId w:val="39"/>
  </w:num>
  <w:num w:numId="24">
    <w:abstractNumId w:val="13"/>
  </w:num>
  <w:num w:numId="25">
    <w:abstractNumId w:val="28"/>
  </w:num>
  <w:num w:numId="26">
    <w:abstractNumId w:val="37"/>
  </w:num>
  <w:num w:numId="27">
    <w:abstractNumId w:val="32"/>
  </w:num>
  <w:num w:numId="28">
    <w:abstractNumId w:val="30"/>
  </w:num>
  <w:num w:numId="29">
    <w:abstractNumId w:val="10"/>
  </w:num>
  <w:num w:numId="30">
    <w:abstractNumId w:val="29"/>
  </w:num>
  <w:num w:numId="31">
    <w:abstractNumId w:val="19"/>
  </w:num>
  <w:num w:numId="32">
    <w:abstractNumId w:val="3"/>
  </w:num>
  <w:num w:numId="33">
    <w:abstractNumId w:val="7"/>
  </w:num>
  <w:num w:numId="34">
    <w:abstractNumId w:val="26"/>
  </w:num>
  <w:num w:numId="35">
    <w:abstractNumId w:val="36"/>
  </w:num>
  <w:num w:numId="36">
    <w:abstractNumId w:val="8"/>
  </w:num>
  <w:num w:numId="37">
    <w:abstractNumId w:val="31"/>
  </w:num>
  <w:num w:numId="38">
    <w:abstractNumId w:val="1"/>
  </w:num>
  <w:num w:numId="39">
    <w:abstractNumId w:val="20"/>
  </w:num>
  <w:num w:numId="40">
    <w:abstractNumId w:val="6"/>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66EF7"/>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66EF7"/>
    <w:pPr>
      <w:spacing w:after="120"/>
    </w:pPr>
  </w:style>
  <w:style w:type="character" w:customStyle="1" w:styleId="af6">
    <w:name w:val="正文文本 字符"/>
    <w:basedOn w:val="a0"/>
    <w:link w:val="af5"/>
    <w:uiPriority w:val="99"/>
    <w:rsid w:val="00C66EF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5E03F-5FFC-4748-B4DE-718DF0B4B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2026-07-06T22:38:00Z</dcterms:created>
  <dcterms:modified xsi:type="dcterms:W3CDTF">2026-07-06T22:38:00Z</dcterms:modified>
</cp:coreProperties>
</file>