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E4D484" w:rsidR="0049405C" w:rsidRPr="00187BAA" w:rsidRDefault="00E04B1C" w:rsidP="00E04B1C">
            <w:pPr>
              <w:spacing w:line="720" w:lineRule="auto"/>
              <w:rPr>
                <w:rFonts w:ascii="宋体" w:eastAsia="宋体" w:hAnsi="宋体"/>
                <w:color w:val="545551"/>
              </w:rPr>
            </w:pPr>
            <w:bookmarkStart w:id="0" w:name="xingming"/>
            <w:bookmarkStart w:id="1" w:name="_GoBack"/>
            <w:bookmarkEnd w:id="1"/>
            <w:r w:rsidRPr="00E04B1C">
              <w:rPr>
                <w:rFonts w:ascii="宋体" w:eastAsia="宋体" w:hAnsi="Times New Roman" w:hint="eastAsia"/>
                <w:b/>
                <w:color w:val="000000"/>
                <w:sz w:val="48"/>
              </w:rPr>
              <w:t>周人杰</w:t>
            </w:r>
            <w:bookmarkEnd w:id="0"/>
          </w:p>
          <w:p w14:paraId="706EB16B" w14:textId="5BB9CF73" w:rsidR="0049405C" w:rsidRPr="00187BAA" w:rsidRDefault="00E04B1C" w:rsidP="00E04B1C">
            <w:pPr>
              <w:spacing w:line="360" w:lineRule="auto"/>
              <w:rPr>
                <w:rFonts w:ascii="宋体" w:eastAsia="宋体" w:hAnsi="宋体"/>
                <w:b/>
                <w:bCs/>
                <w:color w:val="545551"/>
              </w:rPr>
            </w:pPr>
            <w:bookmarkStart w:id="2" w:name="didian"/>
            <w:r w:rsidRPr="00E04B1C">
              <w:rPr>
                <w:rFonts w:ascii="宋体" w:eastAsia="宋体" w:hAnsi="Times New Roman" w:hint="eastAsia"/>
                <w:b/>
                <w:bCs/>
                <w:color w:val="000000"/>
              </w:rPr>
              <w:t>资深律师·上海</w:t>
            </w:r>
            <w:bookmarkEnd w:id="2"/>
          </w:p>
          <w:p w14:paraId="6199424A" w14:textId="02586697" w:rsidR="0049405C" w:rsidRPr="00187BAA" w:rsidRDefault="00E04B1C" w:rsidP="00E04B1C">
            <w:pPr>
              <w:spacing w:line="360" w:lineRule="auto"/>
              <w:rPr>
                <w:rFonts w:ascii="宋体" w:eastAsia="宋体" w:hAnsi="宋体"/>
                <w:color w:val="545551"/>
              </w:rPr>
            </w:pPr>
            <w:bookmarkStart w:id="3" w:name="dianhua"/>
            <w:r w:rsidRPr="00E04B1C">
              <w:rPr>
                <w:rFonts w:ascii="宋体" w:eastAsia="宋体" w:hAnsi="Times New Roman"/>
                <w:color w:val="000000"/>
              </w:rPr>
              <w:t xml:space="preserve">+86 21 2208 1162 </w:t>
            </w:r>
            <w:bookmarkEnd w:id="3"/>
          </w:p>
          <w:p w14:paraId="4F910ACA" w14:textId="14647358" w:rsidR="0049405C" w:rsidRPr="00187BAA" w:rsidRDefault="00E04B1C" w:rsidP="00E04B1C">
            <w:pPr>
              <w:spacing w:line="360" w:lineRule="auto"/>
              <w:rPr>
                <w:rFonts w:ascii="宋体" w:eastAsia="宋体" w:hAnsi="宋体"/>
                <w:color w:val="000000"/>
              </w:rPr>
            </w:pPr>
            <w:bookmarkStart w:id="4" w:name="youxiang"/>
            <w:r w:rsidRPr="00E04B1C">
              <w:rPr>
                <w:rFonts w:ascii="宋体" w:eastAsia="宋体" w:hAnsi="Times New Roman"/>
                <w:color w:val="000000"/>
              </w:rPr>
              <w:t>renjie.zhou@fangdalaw.com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2225AA" w:rsidR="0049405C" w:rsidRPr="00187BAA" w:rsidRDefault="00E04B1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0B9E29" wp14:editId="6EB33FA4">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A9AB32" w:rsidR="009465FB" w:rsidRPr="00187BAA" w:rsidRDefault="00E04B1C" w:rsidP="007177F3">
            <w:pPr>
              <w:rPr>
                <w:rFonts w:ascii="宋体" w:eastAsia="宋体" w:hAnsi="宋体"/>
                <w:color w:val="000000"/>
                <w:szCs w:val="21"/>
              </w:rPr>
            </w:pPr>
            <w:bookmarkStart w:id="6" w:name="zhiyelingyu"/>
            <w:r w:rsidRPr="00E04B1C">
              <w:rPr>
                <w:rFonts w:ascii="宋体" w:eastAsia="宋体" w:hAnsi="Times New Roman" w:hint="eastAsia"/>
                <w:color w:val="000000"/>
                <w:szCs w:val="21"/>
              </w:rPr>
              <w:t>周人杰律师的主要执业领域为破产及债务重组、商事争议解决。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ABDF5A" w14:textId="77777777" w:rsidR="00E04B1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3A5DE7" w14:textId="77777777" w:rsidR="00E04B1C" w:rsidRDefault="00E04B1C" w:rsidP="00E04B1C">
      <w:pPr>
        <w:pStyle w:val="af5"/>
        <w:spacing w:after="0" w:line="480" w:lineRule="auto"/>
        <w:rPr>
          <w:rFonts w:ascii="宋体" w:eastAsia="宋体" w:hAnsi="宋体"/>
          <w:b/>
          <w:sz w:val="24"/>
        </w:rPr>
      </w:pPr>
      <w:r w:rsidRPr="00E04B1C">
        <w:rPr>
          <w:rFonts w:ascii="宋体" w:eastAsia="宋体" w:hAnsi="宋体" w:hint="eastAsia"/>
          <w:b/>
          <w:sz w:val="24"/>
        </w:rPr>
        <w:t>近期代理的主要案件</w:t>
      </w:r>
    </w:p>
    <w:p w14:paraId="2546EF7E" w14:textId="77777777" w:rsidR="00E04B1C" w:rsidRDefault="00E04B1C" w:rsidP="00E04B1C">
      <w:pPr>
        <w:pStyle w:val="af5"/>
        <w:spacing w:before="120"/>
        <w:rPr>
          <w:rFonts w:ascii="宋体" w:eastAsia="宋体" w:hAnsi="Times New Roman"/>
          <w:color w:val="000000"/>
        </w:rPr>
      </w:pPr>
      <w:r w:rsidRPr="00E04B1C">
        <w:rPr>
          <w:rFonts w:ascii="宋体" w:eastAsia="宋体" w:hAnsi="Times New Roman" w:hint="eastAsia"/>
          <w:color w:val="000000"/>
        </w:rPr>
        <w:t>破产及债务重组</w:t>
      </w:r>
    </w:p>
    <w:p w14:paraId="16154A41" w14:textId="77777777" w:rsidR="00E04B1C" w:rsidRDefault="00E04B1C" w:rsidP="00E04B1C">
      <w:pPr>
        <w:pStyle w:val="af5"/>
        <w:numPr>
          <w:ilvl w:val="0"/>
          <w:numId w:val="4"/>
        </w:numPr>
        <w:spacing w:before="120"/>
        <w:ind w:left="690" w:hanging="240"/>
        <w:rPr>
          <w:rFonts w:ascii="宋体" w:eastAsia="宋体" w:hAnsi="Times New Roman"/>
          <w:color w:val="000000"/>
        </w:rPr>
      </w:pPr>
      <w:r w:rsidRPr="00E04B1C">
        <w:rPr>
          <w:rFonts w:ascii="宋体" w:eastAsia="宋体" w:hAnsi="Times New Roman" w:hint="eastAsia"/>
          <w:color w:val="000000"/>
        </w:rPr>
        <w:t>根据上海地区多家法院指定，担任十余家公司的破产案件管理人负责人或强制清算案件清算组组长；</w:t>
      </w:r>
    </w:p>
    <w:p w14:paraId="4867D758" w14:textId="77777777" w:rsidR="00E04B1C" w:rsidRDefault="00E04B1C" w:rsidP="00E04B1C">
      <w:pPr>
        <w:pStyle w:val="af5"/>
        <w:numPr>
          <w:ilvl w:val="0"/>
          <w:numId w:val="5"/>
        </w:numPr>
        <w:spacing w:before="120"/>
        <w:ind w:left="690" w:hanging="240"/>
        <w:rPr>
          <w:rFonts w:ascii="宋体" w:eastAsia="宋体" w:hAnsi="Times New Roman"/>
          <w:color w:val="000000"/>
        </w:rPr>
      </w:pPr>
      <w:r w:rsidRPr="00E04B1C">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6D750363" w14:textId="77777777" w:rsidR="00E04B1C" w:rsidRDefault="00E04B1C" w:rsidP="00E04B1C">
      <w:pPr>
        <w:pStyle w:val="af5"/>
        <w:numPr>
          <w:ilvl w:val="0"/>
          <w:numId w:val="6"/>
        </w:numPr>
        <w:spacing w:before="120"/>
        <w:ind w:left="690" w:hanging="240"/>
        <w:rPr>
          <w:rFonts w:ascii="宋体" w:eastAsia="宋体" w:hAnsi="Times New Roman"/>
          <w:color w:val="000000"/>
        </w:rPr>
      </w:pPr>
      <w:r w:rsidRPr="00E04B1C">
        <w:rPr>
          <w:rFonts w:ascii="宋体" w:eastAsia="宋体" w:hAnsi="Times New Roman" w:hint="eastAsia"/>
          <w:color w:val="000000"/>
        </w:rPr>
        <w:t>在大连船舶重工集团海洋工程有限公司重整案中担任管理人团队主要成员，该案债务规模超过</w:t>
      </w:r>
      <w:r w:rsidRPr="00E04B1C">
        <w:rPr>
          <w:rFonts w:ascii="宋体" w:eastAsia="宋体" w:hAnsi="Times New Roman"/>
          <w:color w:val="000000"/>
        </w:rPr>
        <w:t>200亿元；</w:t>
      </w:r>
    </w:p>
    <w:p w14:paraId="0A0FAFE2" w14:textId="77777777" w:rsidR="00E04B1C" w:rsidRDefault="00E04B1C" w:rsidP="00E04B1C">
      <w:pPr>
        <w:pStyle w:val="af5"/>
        <w:numPr>
          <w:ilvl w:val="0"/>
          <w:numId w:val="7"/>
        </w:numPr>
        <w:spacing w:before="120"/>
        <w:ind w:left="690" w:hanging="240"/>
        <w:rPr>
          <w:rFonts w:ascii="宋体" w:eastAsia="宋体" w:hAnsi="Times New Roman"/>
          <w:color w:val="000000"/>
        </w:rPr>
      </w:pPr>
      <w:r w:rsidRPr="00E04B1C">
        <w:rPr>
          <w:rFonts w:ascii="宋体" w:eastAsia="宋体" w:hAnsi="Times New Roman" w:hint="eastAsia"/>
          <w:color w:val="000000"/>
        </w:rPr>
        <w:t>在上海华信国际集团有限公司等七十一家关联公司合并破产清算案中担任联合管理人团队主要成员，该案涉及负债近</w:t>
      </w:r>
      <w:r w:rsidRPr="00E04B1C">
        <w:rPr>
          <w:rFonts w:ascii="宋体" w:eastAsia="宋体" w:hAnsi="Times New Roman"/>
          <w:color w:val="000000"/>
        </w:rPr>
        <w:t>2,000亿元；</w:t>
      </w:r>
    </w:p>
    <w:p w14:paraId="6E819D3A" w14:textId="77777777" w:rsidR="00E04B1C" w:rsidRDefault="00E04B1C" w:rsidP="00E04B1C">
      <w:pPr>
        <w:pStyle w:val="af5"/>
        <w:numPr>
          <w:ilvl w:val="0"/>
          <w:numId w:val="8"/>
        </w:numPr>
        <w:spacing w:before="120"/>
        <w:ind w:left="690" w:hanging="240"/>
        <w:rPr>
          <w:rFonts w:ascii="宋体" w:eastAsia="宋体" w:hAnsi="Times New Roman"/>
          <w:color w:val="000000"/>
        </w:rPr>
      </w:pPr>
      <w:r w:rsidRPr="00E04B1C">
        <w:rPr>
          <w:rFonts w:ascii="宋体" w:eastAsia="宋体" w:hAnsi="Times New Roman" w:hint="eastAsia"/>
          <w:color w:val="000000"/>
        </w:rPr>
        <w:t>在华鑫集团合并重整案中担任联合管理人团队主要成员，该案涉及负债超过</w:t>
      </w:r>
      <w:r w:rsidRPr="00E04B1C">
        <w:rPr>
          <w:rFonts w:ascii="宋体" w:eastAsia="宋体" w:hAnsi="Times New Roman"/>
          <w:color w:val="000000"/>
        </w:rPr>
        <w:t>30亿元；</w:t>
      </w:r>
    </w:p>
    <w:p w14:paraId="1F5B15E7" w14:textId="77777777" w:rsidR="00E04B1C" w:rsidRDefault="00E04B1C" w:rsidP="00E04B1C">
      <w:pPr>
        <w:pStyle w:val="af5"/>
        <w:numPr>
          <w:ilvl w:val="0"/>
          <w:numId w:val="9"/>
        </w:numPr>
        <w:spacing w:before="120"/>
        <w:ind w:left="690" w:hanging="240"/>
        <w:rPr>
          <w:rFonts w:ascii="宋体" w:eastAsia="宋体" w:hAnsi="Times New Roman"/>
          <w:color w:val="000000"/>
        </w:rPr>
      </w:pPr>
      <w:r w:rsidRPr="00E04B1C">
        <w:rPr>
          <w:rFonts w:ascii="宋体" w:eastAsia="宋体" w:hAnsi="Times New Roman" w:hint="eastAsia"/>
          <w:color w:val="000000"/>
        </w:rPr>
        <w:t>在上海市第三中级人民法院受理的第一起破产案件中担任管理人团队主要成员，该案债务规模达</w:t>
      </w:r>
      <w:r w:rsidRPr="00E04B1C">
        <w:rPr>
          <w:rFonts w:ascii="宋体" w:eastAsia="宋体" w:hAnsi="Times New Roman"/>
          <w:color w:val="000000"/>
        </w:rPr>
        <w:t>40亿元；</w:t>
      </w:r>
    </w:p>
    <w:p w14:paraId="25C4B4AA" w14:textId="77777777" w:rsidR="00E04B1C" w:rsidRDefault="00E04B1C" w:rsidP="00E04B1C">
      <w:pPr>
        <w:pStyle w:val="af5"/>
        <w:numPr>
          <w:ilvl w:val="0"/>
          <w:numId w:val="10"/>
        </w:numPr>
        <w:spacing w:before="120"/>
        <w:ind w:left="690" w:hanging="240"/>
        <w:rPr>
          <w:rFonts w:ascii="宋体" w:eastAsia="宋体" w:hAnsi="Times New Roman"/>
          <w:color w:val="000000"/>
        </w:rPr>
      </w:pPr>
      <w:r w:rsidRPr="00E04B1C">
        <w:rPr>
          <w:rFonts w:ascii="宋体" w:eastAsia="宋体" w:hAnsi="Times New Roman" w:hint="eastAsia"/>
          <w:color w:val="000000"/>
        </w:rPr>
        <w:t>在搜狐旗下上海晶茂文化传播有限公司破产清算案中担任管理人团队主要成员；</w:t>
      </w:r>
    </w:p>
    <w:p w14:paraId="25CA657F" w14:textId="77777777" w:rsidR="00E04B1C" w:rsidRDefault="00E04B1C" w:rsidP="00E04B1C">
      <w:pPr>
        <w:pStyle w:val="af5"/>
        <w:numPr>
          <w:ilvl w:val="0"/>
          <w:numId w:val="11"/>
        </w:numPr>
        <w:spacing w:before="120"/>
        <w:ind w:left="690" w:hanging="240"/>
        <w:rPr>
          <w:rFonts w:ascii="宋体" w:eastAsia="宋体" w:hAnsi="Times New Roman"/>
          <w:color w:val="000000"/>
        </w:rPr>
      </w:pPr>
      <w:r w:rsidRPr="00E04B1C">
        <w:rPr>
          <w:rFonts w:ascii="宋体" w:eastAsia="宋体" w:hAnsi="Times New Roman" w:hint="eastAsia"/>
          <w:color w:val="000000"/>
        </w:rPr>
        <w:t>代表东方前海作为投资人参与三福公司重整、富林木业重整等多个破产重整项目；</w:t>
      </w:r>
    </w:p>
    <w:p w14:paraId="738C494B" w14:textId="77777777" w:rsidR="00E04B1C" w:rsidRDefault="00E04B1C" w:rsidP="00E04B1C">
      <w:pPr>
        <w:pStyle w:val="af5"/>
        <w:numPr>
          <w:ilvl w:val="0"/>
          <w:numId w:val="12"/>
        </w:numPr>
        <w:spacing w:before="120"/>
        <w:ind w:left="690" w:hanging="240"/>
        <w:rPr>
          <w:rFonts w:ascii="宋体" w:eastAsia="宋体" w:hAnsi="Times New Roman"/>
          <w:color w:val="000000"/>
        </w:rPr>
      </w:pPr>
      <w:r w:rsidRPr="00E04B1C">
        <w:rPr>
          <w:rFonts w:ascii="宋体" w:eastAsia="宋体" w:hAnsi="Times New Roman" w:hint="eastAsia"/>
          <w:color w:val="000000"/>
        </w:rPr>
        <w:t>代表雨润集团金融机构债委会参与债务重组，资产规模超过</w:t>
      </w:r>
      <w:r w:rsidRPr="00E04B1C">
        <w:rPr>
          <w:rFonts w:ascii="宋体" w:eastAsia="宋体" w:hAnsi="Times New Roman"/>
          <w:color w:val="000000"/>
        </w:rPr>
        <w:t>1,000亿元；</w:t>
      </w:r>
    </w:p>
    <w:p w14:paraId="5A151BA0" w14:textId="77777777" w:rsidR="00E04B1C" w:rsidRDefault="00E04B1C" w:rsidP="00E04B1C">
      <w:pPr>
        <w:pStyle w:val="af5"/>
        <w:numPr>
          <w:ilvl w:val="0"/>
          <w:numId w:val="13"/>
        </w:numPr>
        <w:spacing w:before="120"/>
        <w:ind w:left="690" w:hanging="240"/>
        <w:rPr>
          <w:rFonts w:ascii="宋体" w:eastAsia="宋体" w:hAnsi="Times New Roman"/>
          <w:color w:val="000000"/>
        </w:rPr>
      </w:pPr>
      <w:r w:rsidRPr="00E04B1C">
        <w:rPr>
          <w:rFonts w:ascii="宋体" w:eastAsia="宋体" w:hAnsi="Times New Roman" w:hint="eastAsia"/>
          <w:color w:val="000000"/>
        </w:rPr>
        <w:t>代表多家大型金融机构债权人参与海航集团、大东南集团、豫联集团等大型破产重整案件；</w:t>
      </w:r>
    </w:p>
    <w:p w14:paraId="1B703454" w14:textId="77777777" w:rsidR="00E04B1C" w:rsidRDefault="00E04B1C" w:rsidP="00E04B1C">
      <w:pPr>
        <w:pStyle w:val="af5"/>
        <w:numPr>
          <w:ilvl w:val="0"/>
          <w:numId w:val="14"/>
        </w:numPr>
        <w:spacing w:before="120"/>
        <w:ind w:left="690" w:hanging="240"/>
        <w:rPr>
          <w:rFonts w:ascii="宋体" w:eastAsia="宋体" w:hAnsi="Times New Roman"/>
          <w:color w:val="000000"/>
        </w:rPr>
      </w:pPr>
      <w:r w:rsidRPr="00E04B1C">
        <w:rPr>
          <w:rFonts w:ascii="宋体" w:eastAsia="宋体" w:hAnsi="Times New Roman" w:hint="eastAsia"/>
          <w:color w:val="000000"/>
        </w:rPr>
        <w:t>代表多家韩国银行及其境内分行组成的银团处理其与</w:t>
      </w:r>
      <w:r w:rsidRPr="00E04B1C">
        <w:rPr>
          <w:rFonts w:ascii="宋体" w:eastAsia="宋体" w:hAnsi="Times New Roman"/>
          <w:color w:val="000000"/>
        </w:rPr>
        <w:t>STX（大连）多家公司的破产程序中的债权确认纠纷；</w:t>
      </w:r>
    </w:p>
    <w:p w14:paraId="1A259419" w14:textId="77777777" w:rsidR="00E04B1C" w:rsidRDefault="00E04B1C" w:rsidP="00E04B1C">
      <w:pPr>
        <w:pStyle w:val="af5"/>
        <w:numPr>
          <w:ilvl w:val="0"/>
          <w:numId w:val="15"/>
        </w:numPr>
        <w:spacing w:before="120"/>
        <w:ind w:left="690" w:hanging="240"/>
        <w:rPr>
          <w:rFonts w:ascii="宋体" w:eastAsia="宋体" w:hAnsi="Times New Roman"/>
          <w:color w:val="000000"/>
        </w:rPr>
      </w:pPr>
      <w:r w:rsidRPr="00E04B1C">
        <w:rPr>
          <w:rFonts w:ascii="宋体" w:eastAsia="宋体" w:hAnsi="Times New Roman" w:hint="eastAsia"/>
          <w:color w:val="000000"/>
        </w:rPr>
        <w:t>代表上海亚泽新型屋面材料有限公司追究股东责任，案件被评为上海破产法庭</w:t>
      </w:r>
      <w:r w:rsidRPr="00E04B1C">
        <w:rPr>
          <w:rFonts w:ascii="宋体" w:eastAsia="宋体" w:hAnsi="Times New Roman"/>
          <w:color w:val="000000"/>
        </w:rPr>
        <w:t>2021年度典型案例；</w:t>
      </w:r>
    </w:p>
    <w:p w14:paraId="1B4706C1" w14:textId="77777777" w:rsidR="00E04B1C" w:rsidRDefault="00E04B1C" w:rsidP="00E04B1C">
      <w:pPr>
        <w:pStyle w:val="af5"/>
        <w:numPr>
          <w:ilvl w:val="0"/>
          <w:numId w:val="16"/>
        </w:numPr>
        <w:spacing w:before="120"/>
        <w:ind w:left="690" w:hanging="240"/>
        <w:rPr>
          <w:rFonts w:ascii="宋体" w:eastAsia="宋体" w:hAnsi="Times New Roman"/>
          <w:color w:val="000000"/>
        </w:rPr>
      </w:pPr>
      <w:r w:rsidRPr="00E04B1C">
        <w:rPr>
          <w:rFonts w:ascii="宋体" w:eastAsia="宋体" w:hAnsi="Times New Roman" w:hint="eastAsia"/>
          <w:color w:val="000000"/>
        </w:rPr>
        <w:t>代表破产管理人在各地法院参加数十起破产衍生诉讼，涉及债权确认纠纷、对外追收债权纠纷、破产撤销权纠纷等。</w:t>
      </w:r>
    </w:p>
    <w:p w14:paraId="32DD98AF" w14:textId="77777777" w:rsidR="00E04B1C" w:rsidRDefault="00E04B1C" w:rsidP="00E04B1C">
      <w:pPr>
        <w:pStyle w:val="af5"/>
        <w:spacing w:before="120"/>
        <w:rPr>
          <w:rFonts w:ascii="宋体" w:eastAsia="宋体" w:hAnsi="Times New Roman"/>
          <w:color w:val="000000"/>
        </w:rPr>
      </w:pPr>
      <w:r w:rsidRPr="00E04B1C">
        <w:rPr>
          <w:rFonts w:ascii="宋体" w:eastAsia="宋体" w:hAnsi="Times New Roman" w:hint="eastAsia"/>
          <w:color w:val="000000"/>
        </w:rPr>
        <w:t>商事争议解决</w:t>
      </w:r>
    </w:p>
    <w:p w14:paraId="40A4A89D" w14:textId="77777777" w:rsidR="00E04B1C" w:rsidRDefault="00E04B1C" w:rsidP="00E04B1C">
      <w:pPr>
        <w:pStyle w:val="af5"/>
        <w:numPr>
          <w:ilvl w:val="0"/>
          <w:numId w:val="17"/>
        </w:numPr>
        <w:spacing w:before="120"/>
        <w:ind w:left="690" w:hanging="240"/>
        <w:rPr>
          <w:rFonts w:ascii="宋体" w:eastAsia="宋体" w:hAnsi="Times New Roman"/>
          <w:color w:val="000000"/>
        </w:rPr>
      </w:pPr>
      <w:r w:rsidRPr="00E04B1C">
        <w:rPr>
          <w:rFonts w:ascii="宋体" w:eastAsia="宋体" w:hAnsi="Times New Roman" w:hint="eastAsia"/>
          <w:color w:val="000000"/>
        </w:rPr>
        <w:t>代表多家外资银行处理贷款纠纷诉讼案件；</w:t>
      </w:r>
    </w:p>
    <w:p w14:paraId="51F705DD" w14:textId="77777777" w:rsidR="00E04B1C" w:rsidRDefault="00E04B1C" w:rsidP="00E04B1C">
      <w:pPr>
        <w:pStyle w:val="af5"/>
        <w:numPr>
          <w:ilvl w:val="0"/>
          <w:numId w:val="18"/>
        </w:numPr>
        <w:spacing w:before="120"/>
        <w:ind w:left="690" w:hanging="240"/>
        <w:rPr>
          <w:rFonts w:ascii="宋体" w:eastAsia="宋体" w:hAnsi="Times New Roman"/>
          <w:color w:val="000000"/>
        </w:rPr>
      </w:pPr>
      <w:r w:rsidRPr="00E04B1C">
        <w:rPr>
          <w:rFonts w:ascii="宋体" w:eastAsia="宋体" w:hAnsi="Times New Roman" w:hint="eastAsia"/>
          <w:color w:val="000000"/>
        </w:rPr>
        <w:t>代表一家知名外资建筑设计公司处理十余起设计服务纠纷诉讼和仲裁案件；</w:t>
      </w:r>
    </w:p>
    <w:p w14:paraId="4EBFBE49" w14:textId="77777777" w:rsidR="00E04B1C" w:rsidRDefault="00E04B1C" w:rsidP="00E04B1C">
      <w:pPr>
        <w:pStyle w:val="af5"/>
        <w:numPr>
          <w:ilvl w:val="0"/>
          <w:numId w:val="19"/>
        </w:numPr>
        <w:spacing w:before="120"/>
        <w:ind w:left="690" w:hanging="240"/>
        <w:rPr>
          <w:rFonts w:ascii="宋体" w:eastAsia="宋体" w:hAnsi="Times New Roman"/>
          <w:color w:val="000000"/>
        </w:rPr>
      </w:pPr>
      <w:r w:rsidRPr="00E04B1C">
        <w:rPr>
          <w:rFonts w:ascii="宋体" w:eastAsia="宋体" w:hAnsi="Times New Roman" w:hint="eastAsia"/>
          <w:color w:val="000000"/>
        </w:rPr>
        <w:t>代表一家美国汽车车商处理因设计合同引发的仲裁；</w:t>
      </w:r>
    </w:p>
    <w:p w14:paraId="0FB17C16" w14:textId="77777777" w:rsidR="00E04B1C" w:rsidRDefault="00E04B1C" w:rsidP="00E04B1C">
      <w:pPr>
        <w:pStyle w:val="af5"/>
        <w:numPr>
          <w:ilvl w:val="0"/>
          <w:numId w:val="20"/>
        </w:numPr>
        <w:spacing w:before="120"/>
        <w:ind w:left="690" w:hanging="240"/>
        <w:rPr>
          <w:rFonts w:ascii="宋体" w:eastAsia="宋体" w:hAnsi="Times New Roman"/>
          <w:color w:val="000000"/>
        </w:rPr>
      </w:pPr>
      <w:r w:rsidRPr="00E04B1C">
        <w:rPr>
          <w:rFonts w:ascii="宋体" w:eastAsia="宋体" w:hAnsi="Times New Roman" w:hint="eastAsia"/>
          <w:color w:val="000000"/>
        </w:rPr>
        <w:t>代表一家知名医药企业处理涉及专业机电设备的建设工程施工合同诉讼；</w:t>
      </w:r>
    </w:p>
    <w:p w14:paraId="32072A90" w14:textId="77777777" w:rsidR="00E04B1C" w:rsidRDefault="00E04B1C" w:rsidP="00E04B1C">
      <w:pPr>
        <w:pStyle w:val="af5"/>
        <w:numPr>
          <w:ilvl w:val="0"/>
          <w:numId w:val="21"/>
        </w:numPr>
        <w:spacing w:before="120"/>
        <w:ind w:left="690" w:hanging="240"/>
        <w:rPr>
          <w:rFonts w:ascii="宋体" w:eastAsia="宋体" w:hAnsi="Times New Roman"/>
          <w:color w:val="000000"/>
        </w:rPr>
      </w:pPr>
      <w:r w:rsidRPr="00E04B1C">
        <w:rPr>
          <w:rFonts w:ascii="宋体" w:eastAsia="宋体" w:hAnsi="Times New Roman" w:hint="eastAsia"/>
          <w:color w:val="000000"/>
        </w:rPr>
        <w:t>代表一</w:t>
      </w:r>
      <w:r w:rsidRPr="00E04B1C">
        <w:rPr>
          <w:rFonts w:ascii="宋体" w:eastAsia="宋体" w:hAnsi="Times New Roman"/>
          <w:color w:val="000000"/>
        </w:rPr>
        <w:t>A股上市公司处理星级酒店租赁合同仲裁并申请取得浙江法院的行为保全禁令，并获得胜诉裁决及全额清偿；</w:t>
      </w:r>
    </w:p>
    <w:p w14:paraId="53BE9215" w14:textId="77777777" w:rsidR="00E04B1C" w:rsidRDefault="00E04B1C" w:rsidP="00E04B1C">
      <w:pPr>
        <w:pStyle w:val="af5"/>
        <w:numPr>
          <w:ilvl w:val="0"/>
          <w:numId w:val="22"/>
        </w:numPr>
        <w:spacing w:before="120"/>
        <w:ind w:left="690" w:hanging="240"/>
        <w:rPr>
          <w:rFonts w:ascii="宋体" w:eastAsia="宋体" w:hAnsi="Times New Roman"/>
          <w:color w:val="000000"/>
        </w:rPr>
      </w:pPr>
      <w:r w:rsidRPr="00E04B1C">
        <w:rPr>
          <w:rFonts w:ascii="宋体" w:eastAsia="宋体" w:hAnsi="Times New Roman" w:hint="eastAsia"/>
          <w:color w:val="000000"/>
        </w:rPr>
        <w:t>代表一家知名的美国服装企业处理租赁合同仲裁；</w:t>
      </w:r>
    </w:p>
    <w:p w14:paraId="6B6A1075" w14:textId="77777777" w:rsidR="00E04B1C" w:rsidRDefault="00E04B1C" w:rsidP="00E04B1C">
      <w:pPr>
        <w:pStyle w:val="af5"/>
        <w:numPr>
          <w:ilvl w:val="0"/>
          <w:numId w:val="23"/>
        </w:numPr>
        <w:spacing w:before="120"/>
        <w:ind w:left="690" w:hanging="240"/>
        <w:rPr>
          <w:rFonts w:ascii="宋体" w:eastAsia="宋体" w:hAnsi="Times New Roman"/>
          <w:color w:val="000000"/>
        </w:rPr>
      </w:pPr>
      <w:r w:rsidRPr="00E04B1C">
        <w:rPr>
          <w:rFonts w:ascii="宋体" w:eastAsia="宋体" w:hAnsi="Times New Roman" w:hint="eastAsia"/>
          <w:color w:val="000000"/>
        </w:rPr>
        <w:t>代表一家离岸船舶公司就其对租船人取得的境外仲裁裁决申请承认与执行。</w:t>
      </w:r>
    </w:p>
    <w:p w14:paraId="7BA2AAA7" w14:textId="77777777" w:rsidR="00E04B1C" w:rsidRDefault="00E04B1C" w:rsidP="00E04B1C">
      <w:pPr>
        <w:pStyle w:val="af5"/>
        <w:spacing w:after="0" w:line="480" w:lineRule="auto"/>
        <w:rPr>
          <w:rFonts w:ascii="宋体" w:eastAsia="宋体" w:hAnsi="宋体"/>
          <w:b/>
          <w:sz w:val="24"/>
        </w:rPr>
      </w:pPr>
      <w:r w:rsidRPr="00E04B1C">
        <w:rPr>
          <w:rFonts w:ascii="宋体" w:eastAsia="宋体" w:hAnsi="宋体" w:hint="eastAsia"/>
          <w:b/>
          <w:sz w:val="24"/>
        </w:rPr>
        <w:t>教育背景</w:t>
      </w:r>
    </w:p>
    <w:p w14:paraId="6AB36A5B" w14:textId="77777777" w:rsidR="00E04B1C" w:rsidRDefault="00E04B1C" w:rsidP="00E04B1C">
      <w:pPr>
        <w:pStyle w:val="af5"/>
        <w:numPr>
          <w:ilvl w:val="0"/>
          <w:numId w:val="24"/>
        </w:numPr>
        <w:spacing w:before="120"/>
        <w:ind w:left="690" w:hanging="240"/>
        <w:rPr>
          <w:rFonts w:ascii="宋体" w:eastAsia="宋体" w:hAnsi="Times New Roman"/>
          <w:color w:val="000000"/>
        </w:rPr>
      </w:pPr>
      <w:r w:rsidRPr="00E04B1C">
        <w:rPr>
          <w:rFonts w:ascii="宋体" w:eastAsia="宋体" w:hAnsi="Times New Roman" w:hint="eastAsia"/>
          <w:color w:val="000000"/>
        </w:rPr>
        <w:t>上海交通大学，法学学士</w:t>
      </w:r>
    </w:p>
    <w:p w14:paraId="6FC86DB4" w14:textId="77777777" w:rsidR="00E04B1C" w:rsidRDefault="00E04B1C" w:rsidP="00E04B1C">
      <w:pPr>
        <w:pStyle w:val="af5"/>
        <w:numPr>
          <w:ilvl w:val="0"/>
          <w:numId w:val="25"/>
        </w:numPr>
        <w:spacing w:before="120"/>
        <w:ind w:left="690" w:hanging="240"/>
        <w:rPr>
          <w:rFonts w:ascii="宋体" w:eastAsia="宋体" w:hAnsi="Times New Roman"/>
          <w:color w:val="000000"/>
        </w:rPr>
      </w:pPr>
      <w:r w:rsidRPr="00E04B1C">
        <w:rPr>
          <w:rFonts w:ascii="宋体" w:eastAsia="宋体" w:hAnsi="Times New Roman" w:hint="eastAsia"/>
          <w:color w:val="000000"/>
        </w:rPr>
        <w:t>上海交通大学，法律硕士</w:t>
      </w:r>
    </w:p>
    <w:p w14:paraId="037DFC62" w14:textId="77777777" w:rsidR="00E04B1C" w:rsidRDefault="00E04B1C" w:rsidP="00E04B1C">
      <w:pPr>
        <w:pStyle w:val="af5"/>
        <w:spacing w:after="0" w:line="480" w:lineRule="auto"/>
        <w:rPr>
          <w:rFonts w:ascii="宋体" w:eastAsia="宋体" w:hAnsi="宋体"/>
          <w:b/>
          <w:sz w:val="24"/>
        </w:rPr>
      </w:pPr>
      <w:r w:rsidRPr="00E04B1C">
        <w:rPr>
          <w:rFonts w:ascii="宋体" w:eastAsia="宋体" w:hAnsi="宋体" w:hint="eastAsia"/>
          <w:b/>
          <w:sz w:val="24"/>
        </w:rPr>
        <w:t>执业资格</w:t>
      </w:r>
    </w:p>
    <w:p w14:paraId="0815A64B" w14:textId="77777777" w:rsidR="00E04B1C" w:rsidRDefault="00E04B1C" w:rsidP="00E04B1C">
      <w:pPr>
        <w:pStyle w:val="af5"/>
        <w:numPr>
          <w:ilvl w:val="0"/>
          <w:numId w:val="26"/>
        </w:numPr>
        <w:spacing w:before="120"/>
        <w:ind w:left="690" w:hanging="240"/>
        <w:rPr>
          <w:rFonts w:ascii="宋体" w:eastAsia="宋体" w:hAnsi="Times New Roman"/>
          <w:color w:val="000000"/>
        </w:rPr>
      </w:pPr>
      <w:r w:rsidRPr="00E04B1C">
        <w:rPr>
          <w:rFonts w:ascii="宋体" w:eastAsia="宋体" w:hAnsi="Times New Roman" w:hint="eastAsia"/>
          <w:color w:val="000000"/>
        </w:rPr>
        <w:t>中华人民共和国执业律师</w:t>
      </w:r>
    </w:p>
    <w:p w14:paraId="5920210F" w14:textId="77777777" w:rsidR="00E04B1C" w:rsidRDefault="00E04B1C" w:rsidP="00E04B1C">
      <w:pPr>
        <w:pStyle w:val="af5"/>
        <w:spacing w:after="0" w:line="480" w:lineRule="auto"/>
        <w:rPr>
          <w:rFonts w:ascii="宋体" w:eastAsia="宋体" w:hAnsi="宋体"/>
          <w:b/>
          <w:sz w:val="24"/>
        </w:rPr>
      </w:pPr>
      <w:r w:rsidRPr="00E04B1C">
        <w:rPr>
          <w:rFonts w:ascii="宋体" w:eastAsia="宋体" w:hAnsi="宋体" w:hint="eastAsia"/>
          <w:b/>
          <w:sz w:val="24"/>
        </w:rPr>
        <w:t>职业背景</w:t>
      </w:r>
    </w:p>
    <w:p w14:paraId="4F0A196B" w14:textId="01144D36" w:rsidR="00A46A04" w:rsidRPr="00E04B1C" w:rsidRDefault="00E04B1C" w:rsidP="00E04B1C">
      <w:pPr>
        <w:pStyle w:val="af5"/>
        <w:numPr>
          <w:ilvl w:val="0"/>
          <w:numId w:val="27"/>
        </w:numPr>
        <w:spacing w:before="120"/>
        <w:ind w:left="690" w:hanging="240"/>
        <w:rPr>
          <w:rFonts w:ascii="宋体" w:eastAsia="宋体" w:hAnsi="Times New Roman"/>
          <w:color w:val="000000"/>
        </w:rPr>
      </w:pPr>
      <w:r w:rsidRPr="00E04B1C">
        <w:rPr>
          <w:rFonts w:ascii="宋体" w:eastAsia="宋体" w:hAnsi="Times New Roman" w:hint="eastAsia"/>
          <w:color w:val="000000"/>
        </w:rPr>
        <w:t>周人杰律师于</w:t>
      </w:r>
      <w:r w:rsidRPr="00E04B1C">
        <w:rPr>
          <w:rFonts w:ascii="宋体" w:eastAsia="宋体" w:hAnsi="Times New Roman"/>
          <w:color w:val="000000"/>
        </w:rPr>
        <w:t>2016年加入方达律师事务所上海办公室。</w:t>
      </w:r>
    </w:p>
    <w:sectPr w:rsidR="00A46A04" w:rsidRPr="00E04B1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81BE6"/>
    <w:multiLevelType w:val="singleLevel"/>
    <w:tmpl w:val="6464BE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7B69C9"/>
    <w:multiLevelType w:val="singleLevel"/>
    <w:tmpl w:val="151AD4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8F3DC6"/>
    <w:multiLevelType w:val="singleLevel"/>
    <w:tmpl w:val="C89C94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3A51DE"/>
    <w:multiLevelType w:val="singleLevel"/>
    <w:tmpl w:val="16F071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A63CFB"/>
    <w:multiLevelType w:val="singleLevel"/>
    <w:tmpl w:val="F08E30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5D65A7"/>
    <w:multiLevelType w:val="singleLevel"/>
    <w:tmpl w:val="336E76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A47D22"/>
    <w:multiLevelType w:val="singleLevel"/>
    <w:tmpl w:val="2E1C35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335F2B"/>
    <w:multiLevelType w:val="singleLevel"/>
    <w:tmpl w:val="05C4A0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8D73B7"/>
    <w:multiLevelType w:val="singleLevel"/>
    <w:tmpl w:val="F482DA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A74B1D"/>
    <w:multiLevelType w:val="singleLevel"/>
    <w:tmpl w:val="B00436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0100DD2"/>
    <w:multiLevelType w:val="singleLevel"/>
    <w:tmpl w:val="63D077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193126"/>
    <w:multiLevelType w:val="singleLevel"/>
    <w:tmpl w:val="0D76BE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E13ED"/>
    <w:multiLevelType w:val="singleLevel"/>
    <w:tmpl w:val="4838DF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50616FD9"/>
    <w:multiLevelType w:val="singleLevel"/>
    <w:tmpl w:val="05C4A0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4E3A3A"/>
    <w:multiLevelType w:val="singleLevel"/>
    <w:tmpl w:val="619E5A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0A7AE0"/>
    <w:multiLevelType w:val="singleLevel"/>
    <w:tmpl w:val="92CE77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6901AF"/>
    <w:multiLevelType w:val="singleLevel"/>
    <w:tmpl w:val="976CA0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887280"/>
    <w:multiLevelType w:val="singleLevel"/>
    <w:tmpl w:val="70C6F2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4669E3"/>
    <w:multiLevelType w:val="singleLevel"/>
    <w:tmpl w:val="180604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EF2F6E"/>
    <w:multiLevelType w:val="singleLevel"/>
    <w:tmpl w:val="A00A0A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C703FF"/>
    <w:multiLevelType w:val="singleLevel"/>
    <w:tmpl w:val="BD7263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160585"/>
    <w:multiLevelType w:val="singleLevel"/>
    <w:tmpl w:val="093EDA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BE3E8B"/>
    <w:multiLevelType w:val="singleLevel"/>
    <w:tmpl w:val="362229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350921"/>
    <w:multiLevelType w:val="singleLevel"/>
    <w:tmpl w:val="870A13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9379C8"/>
    <w:multiLevelType w:val="singleLevel"/>
    <w:tmpl w:val="940E431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4"/>
  </w:num>
  <w:num w:numId="4">
    <w:abstractNumId w:val="3"/>
  </w:num>
  <w:num w:numId="5">
    <w:abstractNumId w:val="10"/>
  </w:num>
  <w:num w:numId="6">
    <w:abstractNumId w:val="20"/>
  </w:num>
  <w:num w:numId="7">
    <w:abstractNumId w:val="12"/>
  </w:num>
  <w:num w:numId="8">
    <w:abstractNumId w:val="16"/>
  </w:num>
  <w:num w:numId="9">
    <w:abstractNumId w:val="1"/>
  </w:num>
  <w:num w:numId="10">
    <w:abstractNumId w:val="21"/>
  </w:num>
  <w:num w:numId="11">
    <w:abstractNumId w:val="24"/>
  </w:num>
  <w:num w:numId="12">
    <w:abstractNumId w:val="18"/>
  </w:num>
  <w:num w:numId="13">
    <w:abstractNumId w:val="22"/>
  </w:num>
  <w:num w:numId="14">
    <w:abstractNumId w:val="2"/>
  </w:num>
  <w:num w:numId="15">
    <w:abstractNumId w:val="6"/>
  </w:num>
  <w:num w:numId="16">
    <w:abstractNumId w:val="11"/>
  </w:num>
  <w:num w:numId="17">
    <w:abstractNumId w:val="23"/>
  </w:num>
  <w:num w:numId="18">
    <w:abstractNumId w:val="25"/>
  </w:num>
  <w:num w:numId="19">
    <w:abstractNumId w:val="13"/>
  </w:num>
  <w:num w:numId="20">
    <w:abstractNumId w:val="17"/>
  </w:num>
  <w:num w:numId="21">
    <w:abstractNumId w:val="8"/>
  </w:num>
  <w:num w:numId="22">
    <w:abstractNumId w:val="0"/>
  </w:num>
  <w:num w:numId="23">
    <w:abstractNumId w:val="5"/>
  </w:num>
  <w:num w:numId="24">
    <w:abstractNumId w:val="19"/>
  </w:num>
  <w:num w:numId="25">
    <w:abstractNumId w:val="26"/>
  </w:num>
  <w:num w:numId="26">
    <w:abstractNumId w:val="15"/>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4B1C"/>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4B1C"/>
    <w:pPr>
      <w:spacing w:after="120"/>
    </w:pPr>
  </w:style>
  <w:style w:type="character" w:customStyle="1" w:styleId="af6">
    <w:name w:val="正文文本 字符"/>
    <w:basedOn w:val="a0"/>
    <w:link w:val="af5"/>
    <w:uiPriority w:val="99"/>
    <w:rsid w:val="00E04B1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A574-7261-410C-8BE7-BDBD30C04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