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ECB1991" w:rsidR="0049405C" w:rsidRPr="00187BAA" w:rsidRDefault="00192CF1" w:rsidP="00192CF1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192CF1">
              <w:rPr>
                <w:rFonts w:ascii="宋体" w:eastAsia="宋体" w:hAnsi="Times New Roman" w:hint="eastAsia"/>
                <w:b/>
                <w:color w:val="000000"/>
                <w:sz w:val="48"/>
              </w:rPr>
              <w:t>朱光耀</w:t>
            </w:r>
            <w:bookmarkEnd w:id="0"/>
          </w:p>
          <w:p w14:paraId="706EB16B" w14:textId="40A08B78" w:rsidR="0049405C" w:rsidRPr="00187BAA" w:rsidRDefault="00192CF1" w:rsidP="00192CF1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192CF1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6A13527B" w:rsidR="0049405C" w:rsidRPr="00187BAA" w:rsidRDefault="00192CF1" w:rsidP="00192CF1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192CF1">
              <w:rPr>
                <w:rFonts w:ascii="宋体" w:eastAsia="宋体" w:hAnsi="Times New Roman"/>
                <w:color w:val="000000"/>
              </w:rPr>
              <w:t xml:space="preserve">+86 21 6263 5807 </w:t>
            </w:r>
            <w:bookmarkEnd w:id="3"/>
          </w:p>
          <w:p w14:paraId="4F910ACA" w14:textId="02503B5D" w:rsidR="0049405C" w:rsidRPr="00187BAA" w:rsidRDefault="00192CF1" w:rsidP="00192CF1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192CF1">
              <w:rPr>
                <w:rFonts w:ascii="宋体" w:eastAsia="宋体" w:hAnsi="Times New Roman"/>
                <w:color w:val="000000"/>
              </w:rPr>
              <w:t>lawrence.zhu@fangdalaw.com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21F1DBB" w:rsidR="0049405C" w:rsidRPr="00187BAA" w:rsidRDefault="00192CF1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EC4507E" wp14:editId="491A2D13">
                  <wp:extent cx="1651000" cy="214240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B0209DE" w:rsidR="009465FB" w:rsidRPr="00187BAA" w:rsidRDefault="00192CF1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192CF1">
              <w:rPr>
                <w:rFonts w:ascii="宋体" w:eastAsia="宋体" w:hAnsi="Times New Roman" w:hint="eastAsia"/>
                <w:color w:val="000000"/>
                <w:szCs w:val="21"/>
              </w:rPr>
              <w:t>朱光耀律师主要从事并购业务、金融市场监管和一般公司业务。朱光耀律师为知名企业和金融机构的在华投资及业务提供法律服务。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099437E" w14:textId="77777777" w:rsidR="00192CF1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A3FB887" w14:textId="77777777" w:rsidR="00192CF1" w:rsidRDefault="00192CF1" w:rsidP="00192CF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92CF1">
        <w:rPr>
          <w:rFonts w:ascii="宋体" w:eastAsia="宋体" w:hAnsi="宋体" w:hint="eastAsia"/>
          <w:b/>
          <w:sz w:val="24"/>
        </w:rPr>
        <w:t>近期代理的主要案件</w:t>
      </w:r>
    </w:p>
    <w:p w14:paraId="54B38D36" w14:textId="77777777" w:rsidR="00192CF1" w:rsidRDefault="00192CF1" w:rsidP="00192CF1">
      <w:pPr>
        <w:pStyle w:val="af5"/>
        <w:spacing w:before="120"/>
        <w:rPr>
          <w:rFonts w:ascii="宋体" w:eastAsia="宋体" w:hAnsi="Times New Roman"/>
          <w:color w:val="000000"/>
        </w:rPr>
      </w:pPr>
      <w:r w:rsidRPr="00192CF1">
        <w:rPr>
          <w:rFonts w:ascii="宋体" w:eastAsia="宋体" w:hAnsi="Times New Roman" w:hint="eastAsia"/>
          <w:color w:val="000000"/>
        </w:rPr>
        <w:t>投资</w:t>
      </w:r>
      <w:r w:rsidRPr="00192CF1">
        <w:rPr>
          <w:rFonts w:ascii="宋体" w:eastAsia="宋体" w:hAnsi="Times New Roman"/>
          <w:color w:val="000000"/>
        </w:rPr>
        <w:t>/并购项目</w:t>
      </w:r>
    </w:p>
    <w:p w14:paraId="07D1AD68" w14:textId="77777777" w:rsidR="00192CF1" w:rsidRDefault="00192CF1" w:rsidP="00192CF1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2CF1">
        <w:rPr>
          <w:rFonts w:ascii="宋体" w:eastAsia="宋体" w:hAnsi="Times New Roman" w:hint="eastAsia"/>
          <w:color w:val="000000"/>
        </w:rPr>
        <w:t>代表瑞信（</w:t>
      </w:r>
      <w:r w:rsidRPr="00192CF1">
        <w:rPr>
          <w:rFonts w:ascii="宋体" w:eastAsia="宋体" w:hAnsi="Times New Roman"/>
          <w:color w:val="000000"/>
        </w:rPr>
        <w:t>Credit Suisse），为其向境内的合资证券公司增资并取得控制权的交易提供法律服务</w:t>
      </w:r>
    </w:p>
    <w:p w14:paraId="05CD50FA" w14:textId="77777777" w:rsidR="00192CF1" w:rsidRDefault="00192CF1" w:rsidP="00192CF1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2CF1">
        <w:rPr>
          <w:rFonts w:ascii="宋体" w:eastAsia="宋体" w:hAnsi="Times New Roman" w:hint="eastAsia"/>
          <w:color w:val="000000"/>
        </w:rPr>
        <w:t>代表星展银行（</w:t>
      </w:r>
      <w:r w:rsidRPr="00192CF1">
        <w:rPr>
          <w:rFonts w:ascii="宋体" w:eastAsia="宋体" w:hAnsi="Times New Roman"/>
          <w:color w:val="000000"/>
        </w:rPr>
        <w:t>DBS）在中国的合资证券项目提供法律服务</w:t>
      </w:r>
    </w:p>
    <w:p w14:paraId="33668C19" w14:textId="77777777" w:rsidR="00192CF1" w:rsidRDefault="00192CF1" w:rsidP="00192CF1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2CF1">
        <w:rPr>
          <w:rFonts w:ascii="宋体" w:eastAsia="宋体" w:hAnsi="Times New Roman" w:hint="eastAsia"/>
          <w:color w:val="000000"/>
        </w:rPr>
        <w:t>代表野村（</w:t>
      </w:r>
      <w:r w:rsidRPr="00192CF1">
        <w:rPr>
          <w:rFonts w:ascii="宋体" w:eastAsia="宋体" w:hAnsi="Times New Roman"/>
          <w:color w:val="000000"/>
        </w:rPr>
        <w:t>Nomura）就其在中国设立合资证券公司提供法律服务</w:t>
      </w:r>
    </w:p>
    <w:p w14:paraId="4CAE5206" w14:textId="77777777" w:rsidR="00192CF1" w:rsidRDefault="00192CF1" w:rsidP="00192CF1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2CF1">
        <w:rPr>
          <w:rFonts w:ascii="宋体" w:eastAsia="宋体" w:hAnsi="Times New Roman" w:hint="eastAsia"/>
          <w:color w:val="000000"/>
        </w:rPr>
        <w:t>代表阿里巴巴投资华泰证券</w:t>
      </w:r>
    </w:p>
    <w:p w14:paraId="2029B86C" w14:textId="77777777" w:rsidR="00192CF1" w:rsidRDefault="00192CF1" w:rsidP="00192CF1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2CF1">
        <w:rPr>
          <w:rFonts w:ascii="宋体" w:eastAsia="宋体" w:hAnsi="Times New Roman" w:hint="eastAsia"/>
          <w:color w:val="000000"/>
        </w:rPr>
        <w:t>代表阿里巴巴投资分众传媒</w:t>
      </w:r>
    </w:p>
    <w:p w14:paraId="174E0020" w14:textId="77777777" w:rsidR="00192CF1" w:rsidRDefault="00192CF1" w:rsidP="00192CF1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2CF1">
        <w:rPr>
          <w:rFonts w:ascii="宋体" w:eastAsia="宋体" w:hAnsi="Times New Roman" w:hint="eastAsia"/>
          <w:color w:val="000000"/>
        </w:rPr>
        <w:t>代表一家领先的金融科技公司进行数轮融资</w:t>
      </w:r>
    </w:p>
    <w:p w14:paraId="775415E9" w14:textId="77777777" w:rsidR="00192CF1" w:rsidRDefault="00192CF1" w:rsidP="00192CF1">
      <w:pPr>
        <w:pStyle w:val="af5"/>
        <w:spacing w:before="120"/>
        <w:rPr>
          <w:rFonts w:ascii="宋体" w:eastAsia="宋体" w:hAnsi="Times New Roman"/>
          <w:color w:val="000000"/>
        </w:rPr>
      </w:pPr>
      <w:r w:rsidRPr="00192CF1">
        <w:rPr>
          <w:rFonts w:ascii="宋体" w:eastAsia="宋体" w:hAnsi="Times New Roman" w:hint="eastAsia"/>
          <w:color w:val="000000"/>
        </w:rPr>
        <w:t>金融市场监管</w:t>
      </w:r>
    </w:p>
    <w:p w14:paraId="05031CA0" w14:textId="77777777" w:rsidR="00192CF1" w:rsidRDefault="00192CF1" w:rsidP="00192CF1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2CF1">
        <w:rPr>
          <w:rFonts w:ascii="宋体" w:eastAsia="宋体" w:hAnsi="Times New Roman" w:hint="eastAsia"/>
          <w:color w:val="000000"/>
        </w:rPr>
        <w:t>向包括巴克莱银行（</w:t>
      </w:r>
      <w:r w:rsidRPr="00192CF1">
        <w:rPr>
          <w:rFonts w:ascii="宋体" w:eastAsia="宋体" w:hAnsi="Times New Roman"/>
          <w:color w:val="000000"/>
        </w:rPr>
        <w:t>Barclays）、城堡投资（Citadel）、花旗（Citi）、瑞信（Credit Suisse）、星展银行（DBS）、高盛（Goldman Sachs）、摩根士丹利（Morgan Stanley）、野村（Nomura）、桑坦德银行（Santander）、渣打（Standard Chartered）、瑞银（UBS）、华平（Warburg Pincus）在内的国际金融机构在华有关的金融业务合规提供法律咨询服务，包括可行性研究、持牌要求、产品设计、治理要求等</w:t>
      </w:r>
    </w:p>
    <w:p w14:paraId="46C58E9F" w14:textId="77777777" w:rsidR="00192CF1" w:rsidRDefault="00192CF1" w:rsidP="00192CF1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2CF1">
        <w:rPr>
          <w:rFonts w:ascii="宋体" w:eastAsia="宋体" w:hAnsi="Times New Roman" w:hint="eastAsia"/>
          <w:color w:val="000000"/>
        </w:rPr>
        <w:t>为多家境内外金融机构及投资者提供衍生品交易有关法律服务，包括法律结构设计和文本准备、提供终止净额结算相关分析等，涉及货币、商品、股权、黄金等多类产品</w:t>
      </w:r>
    </w:p>
    <w:p w14:paraId="22FC2D33" w14:textId="77777777" w:rsidR="00192CF1" w:rsidRDefault="00192CF1" w:rsidP="00192CF1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2CF1">
        <w:rPr>
          <w:rFonts w:ascii="宋体" w:eastAsia="宋体" w:hAnsi="Times New Roman" w:hint="eastAsia"/>
          <w:color w:val="000000"/>
        </w:rPr>
        <w:t>代表多家境内外金融机构就跨境投资业务提供法律咨询服务，包括</w:t>
      </w:r>
      <w:r w:rsidRPr="00192CF1">
        <w:rPr>
          <w:rFonts w:ascii="宋体" w:eastAsia="宋体" w:hAnsi="Times New Roman"/>
          <w:color w:val="000000"/>
        </w:rPr>
        <w:t>QFII/RQFII、QDII/RQDII、QDIE、QDLP、QFLP、沪深港通、债券通、CDR/GDR（沪伦通）等</w:t>
      </w:r>
    </w:p>
    <w:p w14:paraId="1DCC5CDD" w14:textId="77777777" w:rsidR="00192CF1" w:rsidRDefault="00192CF1" w:rsidP="00192CF1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2CF1">
        <w:rPr>
          <w:rFonts w:ascii="宋体" w:eastAsia="宋体" w:hAnsi="Times New Roman" w:hint="eastAsia"/>
          <w:color w:val="000000"/>
        </w:rPr>
        <w:t>代表蚂蚁金服为其境内外市场各类型互联网融资业务、金融科技相关业务以及基金销售相关业务提供法律支持</w:t>
      </w:r>
    </w:p>
    <w:p w14:paraId="2FC624E3" w14:textId="77777777" w:rsidR="00192CF1" w:rsidRDefault="00192CF1" w:rsidP="00192CF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92CF1">
        <w:rPr>
          <w:rFonts w:ascii="宋体" w:eastAsia="宋体" w:hAnsi="宋体" w:hint="eastAsia"/>
          <w:b/>
          <w:sz w:val="24"/>
        </w:rPr>
        <w:t>教育背景</w:t>
      </w:r>
    </w:p>
    <w:p w14:paraId="236641A6" w14:textId="77777777" w:rsidR="00192CF1" w:rsidRDefault="00192CF1" w:rsidP="00192CF1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2CF1">
        <w:rPr>
          <w:rFonts w:ascii="宋体" w:eastAsia="宋体" w:hAnsi="Times New Roman" w:hint="eastAsia"/>
          <w:color w:val="000000"/>
        </w:rPr>
        <w:t>上海交通大学，法学硕士</w:t>
      </w:r>
    </w:p>
    <w:p w14:paraId="6D332FF8" w14:textId="77777777" w:rsidR="00192CF1" w:rsidRDefault="00192CF1" w:rsidP="00192CF1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2CF1">
        <w:rPr>
          <w:rFonts w:ascii="宋体" w:eastAsia="宋体" w:hAnsi="Times New Roman" w:hint="eastAsia"/>
          <w:color w:val="000000"/>
        </w:rPr>
        <w:t>上海交通大学，法学学士</w:t>
      </w:r>
    </w:p>
    <w:p w14:paraId="161FFAE3" w14:textId="77777777" w:rsidR="00192CF1" w:rsidRDefault="00192CF1" w:rsidP="00192CF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92CF1">
        <w:rPr>
          <w:rFonts w:ascii="宋体" w:eastAsia="宋体" w:hAnsi="宋体" w:hint="eastAsia"/>
          <w:b/>
          <w:sz w:val="24"/>
        </w:rPr>
        <w:t>执业资格</w:t>
      </w:r>
    </w:p>
    <w:p w14:paraId="059B12E9" w14:textId="77777777" w:rsidR="00192CF1" w:rsidRDefault="00192CF1" w:rsidP="00192CF1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2CF1">
        <w:rPr>
          <w:rFonts w:ascii="宋体" w:eastAsia="宋体" w:hAnsi="Times New Roman" w:hint="eastAsia"/>
          <w:color w:val="000000"/>
        </w:rPr>
        <w:t>中华人民共和国执业律师</w:t>
      </w:r>
    </w:p>
    <w:p w14:paraId="1FCC5323" w14:textId="77777777" w:rsidR="00192CF1" w:rsidRDefault="00192CF1" w:rsidP="00192CF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192CF1">
        <w:rPr>
          <w:rFonts w:ascii="宋体" w:eastAsia="宋体" w:hAnsi="宋体" w:hint="eastAsia"/>
          <w:b/>
          <w:sz w:val="24"/>
        </w:rPr>
        <w:t>职业背景</w:t>
      </w:r>
    </w:p>
    <w:p w14:paraId="4F0A196B" w14:textId="59B4AD66" w:rsidR="00A46A04" w:rsidRPr="00192CF1" w:rsidRDefault="00192CF1" w:rsidP="00192CF1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192CF1">
        <w:rPr>
          <w:rFonts w:ascii="宋体" w:eastAsia="宋体" w:hAnsi="Times New Roman" w:hint="eastAsia"/>
          <w:color w:val="000000"/>
        </w:rPr>
        <w:t>朱光耀律师于</w:t>
      </w:r>
      <w:r w:rsidRPr="00192CF1">
        <w:rPr>
          <w:rFonts w:ascii="宋体" w:eastAsia="宋体" w:hAnsi="Times New Roman"/>
          <w:color w:val="000000"/>
        </w:rPr>
        <w:t>2016年加入方达律师事务所。</w:t>
      </w:r>
    </w:p>
    <w:sectPr w:rsidR="00A46A04" w:rsidRPr="00192CF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D693D"/>
    <w:multiLevelType w:val="singleLevel"/>
    <w:tmpl w:val="D8BC3D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7A541D9"/>
    <w:multiLevelType w:val="singleLevel"/>
    <w:tmpl w:val="06DA17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99F117C"/>
    <w:multiLevelType w:val="singleLevel"/>
    <w:tmpl w:val="50E6E1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E9F67FA"/>
    <w:multiLevelType w:val="singleLevel"/>
    <w:tmpl w:val="06DA17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ACC753E"/>
    <w:multiLevelType w:val="singleLevel"/>
    <w:tmpl w:val="CD70BC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D006AAF"/>
    <w:multiLevelType w:val="singleLevel"/>
    <w:tmpl w:val="A8728A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D9F48D6"/>
    <w:multiLevelType w:val="singleLevel"/>
    <w:tmpl w:val="31946F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423289F"/>
    <w:multiLevelType w:val="singleLevel"/>
    <w:tmpl w:val="662292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90A2A48"/>
    <w:multiLevelType w:val="singleLevel"/>
    <w:tmpl w:val="447E26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A4C5F40"/>
    <w:multiLevelType w:val="singleLevel"/>
    <w:tmpl w:val="0FFEE8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B64461D"/>
    <w:multiLevelType w:val="singleLevel"/>
    <w:tmpl w:val="153A8E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F64575B"/>
    <w:multiLevelType w:val="singleLevel"/>
    <w:tmpl w:val="B57252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E2F4A74"/>
    <w:multiLevelType w:val="singleLevel"/>
    <w:tmpl w:val="D72AF6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97E339F"/>
    <w:multiLevelType w:val="singleLevel"/>
    <w:tmpl w:val="2C16AC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B9C50EA"/>
    <w:multiLevelType w:val="singleLevel"/>
    <w:tmpl w:val="2362EF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2"/>
  </w:num>
  <w:num w:numId="5">
    <w:abstractNumId w:val="10"/>
  </w:num>
  <w:num w:numId="6">
    <w:abstractNumId w:val="0"/>
  </w:num>
  <w:num w:numId="7">
    <w:abstractNumId w:val="16"/>
  </w:num>
  <w:num w:numId="8">
    <w:abstractNumId w:val="8"/>
  </w:num>
  <w:num w:numId="9">
    <w:abstractNumId w:val="2"/>
  </w:num>
  <w:num w:numId="10">
    <w:abstractNumId w:val="11"/>
  </w:num>
  <w:num w:numId="11">
    <w:abstractNumId w:val="13"/>
  </w:num>
  <w:num w:numId="12">
    <w:abstractNumId w:val="9"/>
  </w:num>
  <w:num w:numId="13">
    <w:abstractNumId w:val="15"/>
  </w:num>
  <w:num w:numId="14">
    <w:abstractNumId w:val="7"/>
  </w:num>
  <w:num w:numId="15">
    <w:abstractNumId w:val="14"/>
  </w:num>
  <w:num w:numId="16">
    <w:abstractNumId w:val="3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92CF1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92CF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92CF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6F539B8-DAE4-4067-8A81-1F7BC51CA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2026-07-06T20:33:00Z</dcterms:created>
  <dcterms:modified xsi:type="dcterms:W3CDTF">2026-07-06T20:33:00Z</dcterms:modified>
</cp:coreProperties>
</file>