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2BBD53A" w:rsidR="0049405C" w:rsidRPr="00187BAA" w:rsidRDefault="00CD7FA0" w:rsidP="00CD7FA0">
            <w:pPr>
              <w:spacing w:line="720" w:lineRule="auto"/>
              <w:rPr>
                <w:rFonts w:ascii="宋体" w:eastAsia="宋体" w:hAnsi="宋体"/>
                <w:color w:val="545551"/>
              </w:rPr>
            </w:pPr>
            <w:bookmarkStart w:id="0" w:name="xingming"/>
            <w:bookmarkStart w:id="1" w:name="_GoBack"/>
            <w:bookmarkEnd w:id="1"/>
            <w:r w:rsidRPr="00CD7FA0">
              <w:rPr>
                <w:rFonts w:ascii="宋体" w:eastAsia="宋体" w:hAnsi="Times New Roman" w:hint="eastAsia"/>
                <w:b/>
                <w:color w:val="000000"/>
                <w:sz w:val="48"/>
              </w:rPr>
              <w:t>唐榛侃</w:t>
            </w:r>
            <w:bookmarkEnd w:id="0"/>
          </w:p>
          <w:p w14:paraId="706EB16B" w14:textId="3AEFE59E" w:rsidR="0049405C" w:rsidRPr="00187BAA" w:rsidRDefault="00CD7FA0" w:rsidP="00CD7FA0">
            <w:pPr>
              <w:spacing w:line="360" w:lineRule="auto"/>
              <w:rPr>
                <w:rFonts w:ascii="宋体" w:eastAsia="宋体" w:hAnsi="宋体"/>
                <w:b/>
                <w:bCs/>
                <w:color w:val="545551"/>
              </w:rPr>
            </w:pPr>
            <w:bookmarkStart w:id="2" w:name="didian"/>
            <w:r w:rsidRPr="00CD7FA0">
              <w:rPr>
                <w:rFonts w:ascii="宋体" w:eastAsia="宋体" w:hAnsi="Times New Roman" w:hint="eastAsia"/>
                <w:b/>
                <w:bCs/>
                <w:color w:val="000000"/>
              </w:rPr>
              <w:t>合伙人·上海</w:t>
            </w:r>
            <w:bookmarkEnd w:id="2"/>
          </w:p>
          <w:p w14:paraId="6199424A" w14:textId="2048A62F" w:rsidR="0049405C" w:rsidRPr="00187BAA" w:rsidRDefault="00CD7FA0" w:rsidP="00CD7FA0">
            <w:pPr>
              <w:spacing w:line="360" w:lineRule="auto"/>
              <w:rPr>
                <w:rFonts w:ascii="宋体" w:eastAsia="宋体" w:hAnsi="宋体"/>
                <w:color w:val="545551"/>
              </w:rPr>
            </w:pPr>
            <w:bookmarkStart w:id="3" w:name="dianhua"/>
            <w:r w:rsidRPr="00CD7FA0">
              <w:rPr>
                <w:rFonts w:ascii="宋体" w:eastAsia="宋体" w:hAnsi="Times New Roman"/>
                <w:color w:val="000000"/>
              </w:rPr>
              <w:t xml:space="preserve">+86 21 6263 5877 </w:t>
            </w:r>
            <w:bookmarkEnd w:id="3"/>
          </w:p>
          <w:p w14:paraId="4F910ACA" w14:textId="1E1C0D00" w:rsidR="0049405C" w:rsidRPr="00187BAA" w:rsidRDefault="00CD7FA0" w:rsidP="00CD7FA0">
            <w:pPr>
              <w:spacing w:line="360" w:lineRule="auto"/>
              <w:rPr>
                <w:rFonts w:ascii="宋体" w:eastAsia="宋体" w:hAnsi="宋体"/>
                <w:color w:val="000000"/>
              </w:rPr>
            </w:pPr>
            <w:bookmarkStart w:id="4" w:name="youxiang"/>
            <w:r w:rsidRPr="00CD7FA0">
              <w:rPr>
                <w:rFonts w:ascii="宋体" w:eastAsia="宋体" w:hAnsi="Times New Roman"/>
                <w:color w:val="000000"/>
              </w:rPr>
              <w:t>kristy.tang@fangdalaw.com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62C5507" w:rsidR="0049405C" w:rsidRPr="00187BAA" w:rsidRDefault="00CD7FA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DC6B0FA" wp14:editId="7FFA5DB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2F7FBEC" w:rsidR="009465FB" w:rsidRPr="00187BAA" w:rsidRDefault="00CD7FA0" w:rsidP="007177F3">
            <w:pPr>
              <w:rPr>
                <w:rFonts w:ascii="宋体" w:eastAsia="宋体" w:hAnsi="宋体"/>
                <w:color w:val="000000"/>
                <w:szCs w:val="21"/>
              </w:rPr>
            </w:pPr>
            <w:bookmarkStart w:id="6" w:name="zhiyelingyu"/>
            <w:r w:rsidRPr="00CD7FA0">
              <w:rPr>
                <w:rFonts w:ascii="宋体" w:eastAsia="宋体" w:hAnsi="Times New Roman" w:hint="eastAsia"/>
                <w:color w:val="000000"/>
                <w:szCs w:val="21"/>
              </w:rPr>
              <w:t>唐榛侃律师擅长金融行业投资并购、金融产品与机构监管合规，长期为银行、金融科技、财富与资产管理等行业客户提供法律服务。</w:t>
            </w:r>
            <w:r w:rsidRPr="00CD7FA0">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A76CE97" w14:textId="77777777" w:rsidR="00CD7FA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03CC39A" w14:textId="77777777" w:rsidR="00CD7FA0" w:rsidRDefault="00CD7FA0" w:rsidP="00CD7FA0">
      <w:pPr>
        <w:pStyle w:val="af5"/>
        <w:spacing w:after="0" w:line="480" w:lineRule="auto"/>
        <w:rPr>
          <w:rFonts w:ascii="宋体" w:eastAsia="宋体" w:hAnsi="宋体"/>
          <w:b/>
          <w:sz w:val="24"/>
        </w:rPr>
      </w:pPr>
      <w:r w:rsidRPr="00CD7FA0">
        <w:rPr>
          <w:rFonts w:ascii="宋体" w:eastAsia="宋体" w:hAnsi="宋体" w:hint="eastAsia"/>
          <w:b/>
          <w:sz w:val="24"/>
        </w:rPr>
        <w:t>近期代理的主要案件</w:t>
      </w:r>
    </w:p>
    <w:p w14:paraId="2048AB91" w14:textId="77777777" w:rsidR="00CD7FA0" w:rsidRDefault="00CD7FA0" w:rsidP="00CD7FA0">
      <w:pPr>
        <w:pStyle w:val="af5"/>
        <w:spacing w:before="120"/>
        <w:rPr>
          <w:rFonts w:ascii="宋体" w:eastAsia="宋体" w:hAnsi="Times New Roman"/>
          <w:color w:val="000000"/>
        </w:rPr>
      </w:pPr>
      <w:r w:rsidRPr="00CD7FA0">
        <w:rPr>
          <w:rFonts w:ascii="宋体" w:eastAsia="宋体" w:hAnsi="Times New Roman" w:hint="eastAsia"/>
          <w:color w:val="000000"/>
        </w:rPr>
        <w:t>金融行业投资并购</w:t>
      </w:r>
    </w:p>
    <w:p w14:paraId="14E46662" w14:textId="77777777" w:rsidR="00CD7FA0" w:rsidRDefault="00CD7FA0" w:rsidP="00CD7FA0">
      <w:pPr>
        <w:pStyle w:val="af5"/>
        <w:numPr>
          <w:ilvl w:val="0"/>
          <w:numId w:val="4"/>
        </w:numPr>
        <w:spacing w:before="120"/>
        <w:ind w:left="690" w:hanging="240"/>
        <w:rPr>
          <w:rFonts w:ascii="宋体" w:eastAsia="宋体" w:hAnsi="Times New Roman"/>
          <w:color w:val="000000"/>
        </w:rPr>
      </w:pPr>
      <w:r w:rsidRPr="00CD7FA0">
        <w:rPr>
          <w:rFonts w:ascii="宋体" w:eastAsia="宋体" w:hAnsi="Times New Roman" w:hint="eastAsia"/>
          <w:color w:val="000000"/>
        </w:rPr>
        <w:t>代表新加坡星展银行战略投资深圳农村商业银行</w:t>
      </w:r>
    </w:p>
    <w:p w14:paraId="1F25AC8E" w14:textId="77777777" w:rsidR="00CD7FA0" w:rsidRDefault="00CD7FA0" w:rsidP="00CD7FA0">
      <w:pPr>
        <w:pStyle w:val="af5"/>
        <w:numPr>
          <w:ilvl w:val="0"/>
          <w:numId w:val="5"/>
        </w:numPr>
        <w:spacing w:before="120"/>
        <w:ind w:left="690" w:hanging="240"/>
        <w:rPr>
          <w:rFonts w:ascii="宋体" w:eastAsia="宋体" w:hAnsi="Times New Roman"/>
          <w:color w:val="000000"/>
        </w:rPr>
      </w:pPr>
      <w:r w:rsidRPr="00CD7FA0">
        <w:rPr>
          <w:rFonts w:ascii="宋体" w:eastAsia="宋体" w:hAnsi="Times New Roman" w:hint="eastAsia"/>
          <w:color w:val="000000"/>
        </w:rPr>
        <w:t>代表多家外资银行出售和</w:t>
      </w:r>
      <w:r w:rsidRPr="00CD7FA0">
        <w:rPr>
          <w:rFonts w:ascii="宋体" w:eastAsia="宋体" w:hAnsi="Times New Roman"/>
          <w:color w:val="000000"/>
        </w:rPr>
        <w:t>/或重组其在华银行业务</w:t>
      </w:r>
    </w:p>
    <w:p w14:paraId="3CA3E13E" w14:textId="77777777" w:rsidR="00CD7FA0" w:rsidRDefault="00CD7FA0" w:rsidP="00CD7FA0">
      <w:pPr>
        <w:pStyle w:val="af5"/>
        <w:numPr>
          <w:ilvl w:val="0"/>
          <w:numId w:val="6"/>
        </w:numPr>
        <w:spacing w:before="120"/>
        <w:ind w:left="690" w:hanging="240"/>
        <w:rPr>
          <w:rFonts w:ascii="宋体" w:eastAsia="宋体" w:hAnsi="Times New Roman"/>
          <w:color w:val="000000"/>
        </w:rPr>
      </w:pPr>
      <w:r w:rsidRPr="00CD7FA0">
        <w:rPr>
          <w:rFonts w:ascii="宋体" w:eastAsia="宋体" w:hAnsi="Times New Roman" w:hint="eastAsia"/>
          <w:color w:val="000000"/>
        </w:rPr>
        <w:t>代表中央汇金投资恒丰银行并取得恒丰银行控股权</w:t>
      </w:r>
    </w:p>
    <w:p w14:paraId="2E64E9D5" w14:textId="77777777" w:rsidR="00CD7FA0" w:rsidRDefault="00CD7FA0" w:rsidP="00CD7FA0">
      <w:pPr>
        <w:pStyle w:val="af5"/>
        <w:numPr>
          <w:ilvl w:val="0"/>
          <w:numId w:val="7"/>
        </w:numPr>
        <w:spacing w:before="120"/>
        <w:ind w:left="690" w:hanging="240"/>
        <w:rPr>
          <w:rFonts w:ascii="宋体" w:eastAsia="宋体" w:hAnsi="Times New Roman"/>
          <w:color w:val="000000"/>
        </w:rPr>
      </w:pPr>
      <w:r w:rsidRPr="00CD7FA0">
        <w:rPr>
          <w:rFonts w:ascii="宋体" w:eastAsia="宋体" w:hAnsi="Times New Roman" w:hint="eastAsia"/>
          <w:color w:val="000000"/>
        </w:rPr>
        <w:t>代表多家投资人投资消费金融公司，包括相关资产的重组与转让</w:t>
      </w:r>
    </w:p>
    <w:p w14:paraId="28AB57B3" w14:textId="77777777" w:rsidR="00CD7FA0" w:rsidRDefault="00CD7FA0" w:rsidP="00CD7FA0">
      <w:pPr>
        <w:pStyle w:val="af5"/>
        <w:numPr>
          <w:ilvl w:val="0"/>
          <w:numId w:val="8"/>
        </w:numPr>
        <w:spacing w:before="120"/>
        <w:ind w:left="690" w:hanging="240"/>
        <w:rPr>
          <w:rFonts w:ascii="宋体" w:eastAsia="宋体" w:hAnsi="Times New Roman"/>
          <w:color w:val="000000"/>
        </w:rPr>
      </w:pPr>
      <w:r w:rsidRPr="00CD7FA0">
        <w:rPr>
          <w:rFonts w:ascii="宋体" w:eastAsia="宋体" w:hAnsi="Times New Roman" w:hint="eastAsia"/>
          <w:color w:val="000000"/>
        </w:rPr>
        <w:t>代表一家外资股东出售某汽车金融公司的控股权</w:t>
      </w:r>
    </w:p>
    <w:p w14:paraId="3B0C7ABA" w14:textId="77777777" w:rsidR="00CD7FA0" w:rsidRDefault="00CD7FA0" w:rsidP="00CD7FA0">
      <w:pPr>
        <w:pStyle w:val="af5"/>
        <w:numPr>
          <w:ilvl w:val="0"/>
          <w:numId w:val="9"/>
        </w:numPr>
        <w:spacing w:before="120"/>
        <w:ind w:left="690" w:hanging="240"/>
        <w:rPr>
          <w:rFonts w:ascii="宋体" w:eastAsia="宋体" w:hAnsi="Times New Roman"/>
          <w:color w:val="000000"/>
        </w:rPr>
      </w:pPr>
      <w:r w:rsidRPr="00CD7FA0">
        <w:rPr>
          <w:rFonts w:ascii="宋体" w:eastAsia="宋体" w:hAnsi="Times New Roman" w:hint="eastAsia"/>
          <w:color w:val="000000"/>
        </w:rPr>
        <w:t>代表国资投资人为安信信托（现建元信托）风险处置、重组与业务经营提供法律服务</w:t>
      </w:r>
    </w:p>
    <w:p w14:paraId="6FC252C9" w14:textId="77777777" w:rsidR="00CD7FA0" w:rsidRDefault="00CD7FA0" w:rsidP="00CD7FA0">
      <w:pPr>
        <w:pStyle w:val="af5"/>
        <w:numPr>
          <w:ilvl w:val="0"/>
          <w:numId w:val="10"/>
        </w:numPr>
        <w:spacing w:before="120"/>
        <w:ind w:left="690" w:hanging="240"/>
        <w:rPr>
          <w:rFonts w:ascii="宋体" w:eastAsia="宋体" w:hAnsi="Times New Roman"/>
          <w:color w:val="000000"/>
        </w:rPr>
      </w:pPr>
      <w:r w:rsidRPr="00CD7FA0">
        <w:rPr>
          <w:rFonts w:ascii="宋体" w:eastAsia="宋体" w:hAnsi="Times New Roman" w:hint="eastAsia"/>
          <w:color w:val="000000"/>
        </w:rPr>
        <w:t>代表</w:t>
      </w:r>
      <w:r w:rsidRPr="00CD7FA0">
        <w:rPr>
          <w:rFonts w:ascii="宋体" w:eastAsia="宋体" w:hAnsi="Times New Roman"/>
          <w:color w:val="000000"/>
        </w:rPr>
        <w:t>Ipreo与恒生电子建立合资企业并就中国债务发行市场的电子化簿记建档解决方案展开合作</w:t>
      </w:r>
    </w:p>
    <w:p w14:paraId="306B5B8B" w14:textId="77777777" w:rsidR="00CD7FA0" w:rsidRDefault="00CD7FA0" w:rsidP="00CD7FA0">
      <w:pPr>
        <w:pStyle w:val="af5"/>
        <w:numPr>
          <w:ilvl w:val="0"/>
          <w:numId w:val="11"/>
        </w:numPr>
        <w:spacing w:before="120"/>
        <w:ind w:left="690" w:hanging="240"/>
        <w:rPr>
          <w:rFonts w:ascii="宋体" w:eastAsia="宋体" w:hAnsi="Times New Roman"/>
          <w:color w:val="000000"/>
        </w:rPr>
      </w:pPr>
      <w:r w:rsidRPr="00CD7FA0">
        <w:rPr>
          <w:rFonts w:ascii="宋体" w:eastAsia="宋体" w:hAnsi="Times New Roman" w:hint="eastAsia"/>
          <w:color w:val="000000"/>
        </w:rPr>
        <w:t>代表一家领先的国际投资机构退出一家公募基金公司</w:t>
      </w:r>
    </w:p>
    <w:p w14:paraId="5504D412" w14:textId="77777777" w:rsidR="00CD7FA0" w:rsidRDefault="00CD7FA0" w:rsidP="00CD7FA0">
      <w:pPr>
        <w:pStyle w:val="af5"/>
        <w:spacing w:before="120"/>
        <w:rPr>
          <w:rFonts w:ascii="宋体" w:eastAsia="宋体" w:hAnsi="Times New Roman"/>
          <w:color w:val="000000"/>
        </w:rPr>
      </w:pPr>
      <w:r w:rsidRPr="00CD7FA0">
        <w:rPr>
          <w:rFonts w:ascii="宋体" w:eastAsia="宋体" w:hAnsi="Times New Roman" w:hint="eastAsia"/>
          <w:color w:val="000000"/>
        </w:rPr>
        <w:t>金融监管</w:t>
      </w:r>
    </w:p>
    <w:p w14:paraId="12D82C6E" w14:textId="77777777" w:rsidR="00CD7FA0" w:rsidRDefault="00CD7FA0" w:rsidP="00CD7FA0">
      <w:pPr>
        <w:pStyle w:val="af5"/>
        <w:spacing w:before="120"/>
        <w:rPr>
          <w:rFonts w:ascii="宋体" w:eastAsia="宋体" w:hAnsi="Times New Roman"/>
          <w:color w:val="000000"/>
        </w:rPr>
      </w:pPr>
      <w:r>
        <w:rPr>
          <w:rFonts w:ascii="宋体" w:eastAsia="宋体" w:hAnsi="Times New Roman" w:hint="eastAsia"/>
          <w:color w:val="000000"/>
        </w:rPr>
        <w:t>为蚂蚁集团、星展、野村、瑞银、摩根大通、摩根士丹利、高盛、花旗、汇丰、华平投资、港交所等多家领先机构提供监管意见咨询、文件等法律服务，涉及如下多个方面：</w:t>
      </w:r>
    </w:p>
    <w:p w14:paraId="3BF7CFA9" w14:textId="77777777" w:rsidR="00CD7FA0" w:rsidRDefault="00CD7FA0" w:rsidP="00CD7FA0">
      <w:pPr>
        <w:pStyle w:val="af5"/>
        <w:numPr>
          <w:ilvl w:val="0"/>
          <w:numId w:val="12"/>
        </w:numPr>
        <w:spacing w:before="120"/>
        <w:ind w:left="690" w:hanging="240"/>
        <w:rPr>
          <w:rFonts w:ascii="宋体" w:eastAsia="宋体" w:hAnsi="Times New Roman"/>
          <w:color w:val="000000"/>
        </w:rPr>
      </w:pPr>
      <w:r w:rsidRPr="00CD7FA0">
        <w:rPr>
          <w:rFonts w:ascii="宋体" w:eastAsia="宋体" w:hAnsi="Times New Roman" w:hint="eastAsia"/>
          <w:color w:val="000000"/>
        </w:rPr>
        <w:t>为金融机构日常经营提供法律服务，包括公司治理、业务与产品合规、关联交易、业务合作与外包、业务调整、外汇监管等</w:t>
      </w:r>
    </w:p>
    <w:p w14:paraId="4169339A" w14:textId="77777777" w:rsidR="00CD7FA0" w:rsidRDefault="00CD7FA0" w:rsidP="00CD7FA0">
      <w:pPr>
        <w:pStyle w:val="af5"/>
        <w:numPr>
          <w:ilvl w:val="0"/>
          <w:numId w:val="13"/>
        </w:numPr>
        <w:spacing w:before="120"/>
        <w:ind w:left="690" w:hanging="240"/>
        <w:rPr>
          <w:rFonts w:ascii="宋体" w:eastAsia="宋体" w:hAnsi="Times New Roman"/>
          <w:color w:val="000000"/>
        </w:rPr>
      </w:pPr>
      <w:r w:rsidRPr="00CD7FA0">
        <w:rPr>
          <w:rFonts w:ascii="宋体" w:eastAsia="宋体" w:hAnsi="Times New Roman" w:hint="eastAsia"/>
          <w:color w:val="000000"/>
        </w:rPr>
        <w:t>为金融科技业务提供法律服务，包括线上银行、线上营销与销售、支付、数字货币、征信与风控、平台监管、先用后付、财富科技、保险科技、区块链、数据隐私、人工智能、系统软件、</w:t>
      </w:r>
      <w:r w:rsidRPr="00CD7FA0">
        <w:rPr>
          <w:rFonts w:ascii="宋体" w:eastAsia="宋体" w:hAnsi="Times New Roman"/>
          <w:color w:val="000000"/>
        </w:rPr>
        <w:t>SAAS等</w:t>
      </w:r>
    </w:p>
    <w:p w14:paraId="37585193" w14:textId="77777777" w:rsidR="00CD7FA0" w:rsidRDefault="00CD7FA0" w:rsidP="00CD7FA0">
      <w:pPr>
        <w:pStyle w:val="af5"/>
        <w:numPr>
          <w:ilvl w:val="0"/>
          <w:numId w:val="14"/>
        </w:numPr>
        <w:spacing w:before="120"/>
        <w:ind w:left="690" w:hanging="240"/>
        <w:rPr>
          <w:rFonts w:ascii="宋体" w:eastAsia="宋体" w:hAnsi="Times New Roman"/>
          <w:color w:val="000000"/>
        </w:rPr>
      </w:pPr>
      <w:r w:rsidRPr="00CD7FA0">
        <w:rPr>
          <w:rFonts w:ascii="宋体" w:eastAsia="宋体" w:hAnsi="Times New Roman" w:hint="eastAsia"/>
          <w:color w:val="000000"/>
        </w:rPr>
        <w:t>为融资类业务提供法律服务，包括贷款、跨境融资与担保、小微金融、消费金融、贸易融资、保理、融资担保、融资租赁、信用卡、汽车金融、供应链金融等</w:t>
      </w:r>
    </w:p>
    <w:p w14:paraId="21DA5254" w14:textId="77777777" w:rsidR="00CD7FA0" w:rsidRDefault="00CD7FA0" w:rsidP="00CD7FA0">
      <w:pPr>
        <w:pStyle w:val="af5"/>
        <w:numPr>
          <w:ilvl w:val="0"/>
          <w:numId w:val="15"/>
        </w:numPr>
        <w:spacing w:before="120"/>
        <w:ind w:left="690" w:hanging="240"/>
        <w:rPr>
          <w:rFonts w:ascii="宋体" w:eastAsia="宋体" w:hAnsi="Times New Roman"/>
          <w:color w:val="000000"/>
        </w:rPr>
      </w:pPr>
      <w:r w:rsidRPr="00CD7FA0">
        <w:rPr>
          <w:rFonts w:ascii="宋体" w:eastAsia="宋体" w:hAnsi="Times New Roman" w:hint="eastAsia"/>
          <w:color w:val="000000"/>
        </w:rPr>
        <w:t>为财富与资管业务提供法律服务，包括产品代销、托管、银行理财、信托、私募基金、资产证券化等</w:t>
      </w:r>
    </w:p>
    <w:p w14:paraId="20631AD3" w14:textId="77777777" w:rsidR="00CD7FA0" w:rsidRDefault="00CD7FA0" w:rsidP="00CD7FA0">
      <w:pPr>
        <w:pStyle w:val="af5"/>
        <w:numPr>
          <w:ilvl w:val="0"/>
          <w:numId w:val="16"/>
        </w:numPr>
        <w:spacing w:before="120"/>
        <w:ind w:left="690" w:hanging="240"/>
        <w:rPr>
          <w:rFonts w:ascii="宋体" w:eastAsia="宋体" w:hAnsi="Times New Roman"/>
          <w:color w:val="000000"/>
        </w:rPr>
      </w:pPr>
      <w:r w:rsidRPr="00CD7FA0">
        <w:rPr>
          <w:rFonts w:ascii="宋体" w:eastAsia="宋体" w:hAnsi="Times New Roman" w:hint="eastAsia"/>
          <w:color w:val="000000"/>
        </w:rPr>
        <w:t>为跨境投资业务提供法律服务，包括</w:t>
      </w:r>
      <w:r w:rsidRPr="00CD7FA0">
        <w:rPr>
          <w:rFonts w:ascii="宋体" w:eastAsia="宋体" w:hAnsi="Times New Roman"/>
          <w:color w:val="000000"/>
        </w:rPr>
        <w:t>QFI、QDII、跨境理财通等</w:t>
      </w:r>
    </w:p>
    <w:p w14:paraId="328E8735" w14:textId="77777777" w:rsidR="00CD7FA0" w:rsidRDefault="00CD7FA0" w:rsidP="00CD7FA0">
      <w:pPr>
        <w:pStyle w:val="af5"/>
        <w:spacing w:after="0" w:line="480" w:lineRule="auto"/>
        <w:rPr>
          <w:rFonts w:ascii="宋体" w:eastAsia="宋体" w:hAnsi="宋体"/>
          <w:b/>
          <w:sz w:val="24"/>
        </w:rPr>
      </w:pPr>
      <w:r w:rsidRPr="00CD7FA0">
        <w:rPr>
          <w:rFonts w:ascii="宋体" w:eastAsia="宋体" w:hAnsi="宋体" w:hint="eastAsia"/>
          <w:b/>
          <w:sz w:val="24"/>
        </w:rPr>
        <w:t>教育背景</w:t>
      </w:r>
    </w:p>
    <w:p w14:paraId="5C638A5E" w14:textId="77777777" w:rsidR="00CD7FA0" w:rsidRDefault="00CD7FA0" w:rsidP="00CD7FA0">
      <w:pPr>
        <w:pStyle w:val="af5"/>
        <w:numPr>
          <w:ilvl w:val="0"/>
          <w:numId w:val="17"/>
        </w:numPr>
        <w:spacing w:before="120"/>
        <w:ind w:left="690" w:hanging="240"/>
        <w:rPr>
          <w:rFonts w:ascii="宋体" w:eastAsia="宋体" w:hAnsi="Times New Roman"/>
          <w:color w:val="000000"/>
        </w:rPr>
      </w:pPr>
      <w:r w:rsidRPr="00CD7FA0">
        <w:rPr>
          <w:rFonts w:ascii="宋体" w:eastAsia="宋体" w:hAnsi="Times New Roman" w:hint="eastAsia"/>
          <w:color w:val="000000"/>
        </w:rPr>
        <w:t>伦敦政治经济学院</w:t>
      </w:r>
      <w:r w:rsidRPr="00CD7FA0">
        <w:rPr>
          <w:rFonts w:ascii="宋体" w:eastAsia="宋体" w:hAnsi="Times New Roman"/>
          <w:color w:val="000000"/>
        </w:rPr>
        <w:t>, 法学硕士</w:t>
      </w:r>
    </w:p>
    <w:p w14:paraId="2667ADAB" w14:textId="77777777" w:rsidR="00CD7FA0" w:rsidRDefault="00CD7FA0" w:rsidP="00CD7FA0">
      <w:pPr>
        <w:pStyle w:val="af5"/>
        <w:numPr>
          <w:ilvl w:val="0"/>
          <w:numId w:val="18"/>
        </w:numPr>
        <w:spacing w:before="120"/>
        <w:ind w:left="690" w:hanging="240"/>
        <w:rPr>
          <w:rFonts w:ascii="宋体" w:eastAsia="宋体" w:hAnsi="Times New Roman"/>
          <w:color w:val="000000"/>
        </w:rPr>
      </w:pPr>
      <w:r w:rsidRPr="00CD7FA0">
        <w:rPr>
          <w:rFonts w:ascii="宋体" w:eastAsia="宋体" w:hAnsi="Times New Roman" w:hint="eastAsia"/>
          <w:color w:val="000000"/>
        </w:rPr>
        <w:t>华东政法大学</w:t>
      </w:r>
      <w:r w:rsidRPr="00CD7FA0">
        <w:rPr>
          <w:rFonts w:ascii="宋体" w:eastAsia="宋体" w:hAnsi="Times New Roman"/>
          <w:color w:val="000000"/>
        </w:rPr>
        <w:t>, 法学学士</w:t>
      </w:r>
    </w:p>
    <w:p w14:paraId="561A4610" w14:textId="77777777" w:rsidR="00CD7FA0" w:rsidRDefault="00CD7FA0" w:rsidP="00CD7FA0">
      <w:pPr>
        <w:pStyle w:val="af5"/>
        <w:spacing w:after="0" w:line="480" w:lineRule="auto"/>
        <w:rPr>
          <w:rFonts w:ascii="宋体" w:eastAsia="宋体" w:hAnsi="宋体"/>
          <w:b/>
          <w:sz w:val="24"/>
        </w:rPr>
      </w:pPr>
      <w:r w:rsidRPr="00CD7FA0">
        <w:rPr>
          <w:rFonts w:ascii="宋体" w:eastAsia="宋体" w:hAnsi="宋体" w:hint="eastAsia"/>
          <w:b/>
          <w:sz w:val="24"/>
        </w:rPr>
        <w:t>执业资格</w:t>
      </w:r>
    </w:p>
    <w:p w14:paraId="6C375EA0" w14:textId="77777777" w:rsidR="00CD7FA0" w:rsidRDefault="00CD7FA0" w:rsidP="00CD7FA0">
      <w:pPr>
        <w:pStyle w:val="af5"/>
        <w:numPr>
          <w:ilvl w:val="0"/>
          <w:numId w:val="19"/>
        </w:numPr>
        <w:spacing w:before="120"/>
        <w:ind w:left="690" w:hanging="240"/>
        <w:rPr>
          <w:rFonts w:ascii="宋体" w:eastAsia="宋体" w:hAnsi="Times New Roman"/>
          <w:color w:val="000000"/>
        </w:rPr>
      </w:pPr>
      <w:r w:rsidRPr="00CD7FA0">
        <w:rPr>
          <w:rFonts w:ascii="宋体" w:eastAsia="宋体" w:hAnsi="Times New Roman" w:hint="eastAsia"/>
          <w:color w:val="000000"/>
        </w:rPr>
        <w:t>中华人民共和国执业律师</w:t>
      </w:r>
    </w:p>
    <w:p w14:paraId="7166B3CA" w14:textId="77777777" w:rsidR="00CD7FA0" w:rsidRDefault="00CD7FA0" w:rsidP="00CD7FA0">
      <w:pPr>
        <w:pStyle w:val="af5"/>
        <w:spacing w:after="0" w:line="480" w:lineRule="auto"/>
        <w:rPr>
          <w:rFonts w:ascii="宋体" w:eastAsia="宋体" w:hAnsi="宋体"/>
          <w:b/>
          <w:sz w:val="24"/>
        </w:rPr>
      </w:pPr>
      <w:r w:rsidRPr="00CD7FA0">
        <w:rPr>
          <w:rFonts w:ascii="宋体" w:eastAsia="宋体" w:hAnsi="宋体" w:hint="eastAsia"/>
          <w:b/>
          <w:sz w:val="24"/>
        </w:rPr>
        <w:t>职业背景</w:t>
      </w:r>
    </w:p>
    <w:p w14:paraId="4F0A196B" w14:textId="4F33649E" w:rsidR="00A46A04" w:rsidRPr="00CD7FA0" w:rsidRDefault="00CD7FA0" w:rsidP="00CD7FA0">
      <w:pPr>
        <w:pStyle w:val="af5"/>
        <w:numPr>
          <w:ilvl w:val="0"/>
          <w:numId w:val="20"/>
        </w:numPr>
        <w:spacing w:before="120"/>
        <w:ind w:left="690" w:hanging="240"/>
        <w:rPr>
          <w:rFonts w:ascii="宋体" w:eastAsia="宋体" w:hAnsi="Times New Roman"/>
          <w:color w:val="000000"/>
        </w:rPr>
      </w:pPr>
      <w:r w:rsidRPr="00CD7FA0">
        <w:rPr>
          <w:rFonts w:ascii="宋体" w:eastAsia="宋体" w:hAnsi="Times New Roman" w:hint="eastAsia"/>
          <w:color w:val="000000"/>
        </w:rPr>
        <w:t>唐榛侃律师于</w:t>
      </w:r>
      <w:r w:rsidRPr="00CD7FA0">
        <w:rPr>
          <w:rFonts w:ascii="宋体" w:eastAsia="宋体" w:hAnsi="Times New Roman"/>
          <w:color w:val="000000"/>
        </w:rPr>
        <w:t>2018年加入方达律师事务所上海办公室，此前曾先后在两家业内领先律师事务所工作。</w:t>
      </w:r>
    </w:p>
    <w:sectPr w:rsidR="00A46A04" w:rsidRPr="00CD7FA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903F7"/>
    <w:multiLevelType w:val="singleLevel"/>
    <w:tmpl w:val="0F046FA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3F0FED"/>
    <w:multiLevelType w:val="singleLevel"/>
    <w:tmpl w:val="494AF82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B32B3B"/>
    <w:multiLevelType w:val="singleLevel"/>
    <w:tmpl w:val="777896F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85007C"/>
    <w:multiLevelType w:val="singleLevel"/>
    <w:tmpl w:val="6486E86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616500"/>
    <w:multiLevelType w:val="singleLevel"/>
    <w:tmpl w:val="0408275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FF6851"/>
    <w:multiLevelType w:val="singleLevel"/>
    <w:tmpl w:val="8804864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D222C0"/>
    <w:multiLevelType w:val="singleLevel"/>
    <w:tmpl w:val="034E410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FC4F57"/>
    <w:multiLevelType w:val="singleLevel"/>
    <w:tmpl w:val="E9F636D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2C0E78"/>
    <w:multiLevelType w:val="singleLevel"/>
    <w:tmpl w:val="6C1A923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BCD6960"/>
    <w:multiLevelType w:val="singleLevel"/>
    <w:tmpl w:val="28B4FB2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D3A13F2"/>
    <w:multiLevelType w:val="singleLevel"/>
    <w:tmpl w:val="DF7C5AE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1A34EEB"/>
    <w:multiLevelType w:val="singleLevel"/>
    <w:tmpl w:val="C1F0CE7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1E27FCA"/>
    <w:multiLevelType w:val="singleLevel"/>
    <w:tmpl w:val="3D182E3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66816D2"/>
    <w:multiLevelType w:val="singleLevel"/>
    <w:tmpl w:val="5E763E5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6A37601"/>
    <w:multiLevelType w:val="singleLevel"/>
    <w:tmpl w:val="33581AD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E4371B3"/>
    <w:multiLevelType w:val="singleLevel"/>
    <w:tmpl w:val="917A943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1406AF4"/>
    <w:multiLevelType w:val="singleLevel"/>
    <w:tmpl w:val="034E410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EB4123D"/>
    <w:multiLevelType w:val="singleLevel"/>
    <w:tmpl w:val="BB100B7C"/>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0"/>
  </w:num>
  <w:num w:numId="3">
    <w:abstractNumId w:val="8"/>
  </w:num>
  <w:num w:numId="4">
    <w:abstractNumId w:val="11"/>
  </w:num>
  <w:num w:numId="5">
    <w:abstractNumId w:val="16"/>
  </w:num>
  <w:num w:numId="6">
    <w:abstractNumId w:val="3"/>
  </w:num>
  <w:num w:numId="7">
    <w:abstractNumId w:val="13"/>
  </w:num>
  <w:num w:numId="8">
    <w:abstractNumId w:val="15"/>
  </w:num>
  <w:num w:numId="9">
    <w:abstractNumId w:val="7"/>
  </w:num>
  <w:num w:numId="10">
    <w:abstractNumId w:val="5"/>
  </w:num>
  <w:num w:numId="11">
    <w:abstractNumId w:val="4"/>
  </w:num>
  <w:num w:numId="12">
    <w:abstractNumId w:val="0"/>
  </w:num>
  <w:num w:numId="13">
    <w:abstractNumId w:val="19"/>
  </w:num>
  <w:num w:numId="14">
    <w:abstractNumId w:val="2"/>
  </w:num>
  <w:num w:numId="15">
    <w:abstractNumId w:val="1"/>
  </w:num>
  <w:num w:numId="16">
    <w:abstractNumId w:val="17"/>
  </w:num>
  <w:num w:numId="17">
    <w:abstractNumId w:val="14"/>
  </w:num>
  <w:num w:numId="18">
    <w:abstractNumId w:val="12"/>
  </w:num>
  <w:num w:numId="19">
    <w:abstractNumId w:val="18"/>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CD7FA0"/>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D7FA0"/>
    <w:pPr>
      <w:spacing w:after="120"/>
    </w:pPr>
  </w:style>
  <w:style w:type="character" w:customStyle="1" w:styleId="af6">
    <w:name w:val="正文文本 字符"/>
    <w:basedOn w:val="a0"/>
    <w:link w:val="af5"/>
    <w:uiPriority w:val="99"/>
    <w:rsid w:val="00CD7FA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8A77B-BFD2-4C01-8DF1-FFB736233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126</Words>
  <Characters>724</Characters>
  <Application>Microsoft Office Word</Application>
  <DocSecurity>0</DocSecurity>
  <Lines>6</Lines>
  <Paragraphs>1</Paragraphs>
  <ScaleCrop>false</ScaleCrop>
  <Company/>
  <LinksUpToDate>false</LinksUpToDate>
  <CharactersWithSpaces>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2026-11-06T20:38:00Z</dcterms:created>
  <dcterms:modified xsi:type="dcterms:W3CDTF">2026-11-06T20:38:00Z</dcterms:modified>
</cp:coreProperties>
</file>