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38E4CAE" w:rsidR="0049405C" w:rsidRPr="00187BAA" w:rsidRDefault="000C2E44" w:rsidP="000C2E4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0C2E44">
              <w:rPr>
                <w:rFonts w:ascii="宋体" w:eastAsia="宋体" w:hAnsi="Times New Roman" w:hint="eastAsia"/>
                <w:b/>
                <w:color w:val="000000"/>
                <w:sz w:val="48"/>
              </w:rPr>
              <w:t>陈鹤岚</w:t>
            </w:r>
            <w:bookmarkEnd w:id="0"/>
          </w:p>
          <w:p w14:paraId="706EB16B" w14:textId="25208501" w:rsidR="0049405C" w:rsidRPr="00187BAA" w:rsidRDefault="000C2E44" w:rsidP="000C2E4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0C2E44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6B9B5060" w:rsidR="0049405C" w:rsidRPr="00187BAA" w:rsidRDefault="000C2E44" w:rsidP="000C2E4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0C2E44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40676AFC" w:rsidR="0049405C" w:rsidRPr="00187BAA" w:rsidRDefault="000C2E44" w:rsidP="000C2E4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0C2E44">
              <w:rPr>
                <w:rFonts w:ascii="宋体" w:eastAsia="宋体" w:hAnsi="Times New Roman"/>
                <w:color w:val="000000"/>
              </w:rPr>
              <w:t>aaron.chen@fangdalaw.com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DAAAEFC" w:rsidR="0049405C" w:rsidRPr="00187BAA" w:rsidRDefault="000C2E4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807C261" wp14:editId="09D0939E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A8025FA" w:rsidR="009465FB" w:rsidRPr="00187BAA" w:rsidRDefault="000C2E4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0C2E44">
              <w:rPr>
                <w:rFonts w:ascii="宋体" w:eastAsia="宋体" w:hAnsi="Times New Roman" w:hint="eastAsia"/>
                <w:color w:val="000000"/>
                <w:szCs w:val="21"/>
              </w:rPr>
              <w:t>陈鹤岚律师在资本市场、上市公司重组、公司并购以及私募股权投资等业务领域拥有丰富经验。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D991AE8" w14:textId="77777777" w:rsidR="000C2E4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90A1F2E" w14:textId="77777777" w:rsidR="000C2E44" w:rsidRDefault="000C2E44" w:rsidP="000C2E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C2E44">
        <w:rPr>
          <w:rFonts w:ascii="宋体" w:eastAsia="宋体" w:hAnsi="宋体" w:hint="eastAsia"/>
          <w:b/>
          <w:sz w:val="24"/>
        </w:rPr>
        <w:t>近期代理的主要案件</w:t>
      </w:r>
    </w:p>
    <w:p w14:paraId="461B6B24" w14:textId="77777777" w:rsidR="000C2E44" w:rsidRDefault="000C2E44" w:rsidP="000C2E44">
      <w:pPr>
        <w:pStyle w:val="af5"/>
        <w:spacing w:before="120"/>
        <w:rPr>
          <w:rFonts w:ascii="宋体" w:eastAsia="宋体" w:hAnsi="Times New Roman"/>
          <w:color w:val="000000"/>
        </w:rPr>
      </w:pPr>
      <w:r w:rsidRPr="000C2E44">
        <w:rPr>
          <w:rFonts w:ascii="宋体" w:eastAsia="宋体" w:hAnsi="Times New Roman" w:hint="eastAsia"/>
          <w:color w:val="000000"/>
        </w:rPr>
        <w:t>境内融资业务</w:t>
      </w:r>
    </w:p>
    <w:p w14:paraId="19A6BFE8" w14:textId="77777777" w:rsidR="000C2E44" w:rsidRDefault="000C2E44" w:rsidP="000C2E4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2E44">
        <w:rPr>
          <w:rFonts w:ascii="宋体" w:eastAsia="宋体" w:hAnsi="Times New Roman" w:hint="eastAsia"/>
          <w:color w:val="000000"/>
        </w:rPr>
        <w:t>负责或参与多家企业在境内</w:t>
      </w:r>
      <w:r w:rsidRPr="000C2E44">
        <w:rPr>
          <w:rFonts w:ascii="宋体" w:eastAsia="宋体" w:hAnsi="Times New Roman"/>
          <w:color w:val="000000"/>
        </w:rPr>
        <w:t>A股的上市发行与再融资项目，包括恒宝股份、君实生物、华尔泰、联翔家居、盛泰股份、浙商证券、弘讯科技、三美化工、安井食品、华域汽车、新炬网络、五芳斋、药明康德等</w:t>
      </w:r>
    </w:p>
    <w:p w14:paraId="18FFC34D" w14:textId="77777777" w:rsidR="000C2E44" w:rsidRDefault="000C2E44" w:rsidP="000C2E44">
      <w:pPr>
        <w:pStyle w:val="af5"/>
        <w:spacing w:before="120"/>
        <w:rPr>
          <w:rFonts w:ascii="宋体" w:eastAsia="宋体" w:hAnsi="Times New Roman"/>
          <w:color w:val="000000"/>
        </w:rPr>
      </w:pPr>
      <w:r w:rsidRPr="000C2E44">
        <w:rPr>
          <w:rFonts w:ascii="宋体" w:eastAsia="宋体" w:hAnsi="Times New Roman" w:hint="eastAsia"/>
          <w:color w:val="000000"/>
        </w:rPr>
        <w:t>境外融资业务</w:t>
      </w:r>
    </w:p>
    <w:p w14:paraId="31BA0DD5" w14:textId="77777777" w:rsidR="000C2E44" w:rsidRDefault="000C2E44" w:rsidP="000C2E4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2E44">
        <w:rPr>
          <w:rFonts w:ascii="宋体" w:eastAsia="宋体" w:hAnsi="Times New Roman" w:hint="eastAsia"/>
          <w:color w:val="000000"/>
        </w:rPr>
        <w:t>负责或参与多家企业在香港及其他境外市场的上市发行和增发项目，包括君实生物、复宏汉霖、药明康德、惠生能源等</w:t>
      </w:r>
    </w:p>
    <w:p w14:paraId="3F156FB4" w14:textId="77777777" w:rsidR="000C2E44" w:rsidRDefault="000C2E44" w:rsidP="000C2E44">
      <w:pPr>
        <w:pStyle w:val="af5"/>
        <w:spacing w:before="120"/>
        <w:rPr>
          <w:rFonts w:ascii="宋体" w:eastAsia="宋体" w:hAnsi="Times New Roman"/>
          <w:color w:val="000000"/>
        </w:rPr>
      </w:pPr>
      <w:r w:rsidRPr="000C2E44">
        <w:rPr>
          <w:rFonts w:ascii="宋体" w:eastAsia="宋体" w:hAnsi="Times New Roman" w:hint="eastAsia"/>
          <w:color w:val="000000"/>
        </w:rPr>
        <w:t>其他业务</w:t>
      </w:r>
    </w:p>
    <w:p w14:paraId="307CC05D" w14:textId="77777777" w:rsidR="000C2E44" w:rsidRDefault="000C2E44" w:rsidP="000C2E4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2E44">
        <w:rPr>
          <w:rFonts w:ascii="宋体" w:eastAsia="宋体" w:hAnsi="Times New Roman" w:hint="eastAsia"/>
          <w:color w:val="000000"/>
        </w:rPr>
        <w:t>为上汽集团、君实生物、安井食品、弘讯科技、浙商证券、华域汽车、新炬网络、联翔家居、盛泰股份等多家上市企业或行业领先企业提供常年法律顾问服务</w:t>
      </w:r>
    </w:p>
    <w:p w14:paraId="67C94438" w14:textId="77777777" w:rsidR="000C2E44" w:rsidRDefault="000C2E44" w:rsidP="000C2E4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2E44">
        <w:rPr>
          <w:rFonts w:ascii="宋体" w:eastAsia="宋体" w:hAnsi="Times New Roman" w:hint="eastAsia"/>
          <w:color w:val="000000"/>
        </w:rPr>
        <w:t>为上汽集团重大资产重组及整体上市项目、上汽集团非公开发行及员工持股计划项目、东方航空公司吸收合并上海航空公司项目、美的集团吸收合并整体上市项目、弘讯科技投资东莞智赢、安井食品收购新宏业及柳伍食品等并购项目提供法律服务</w:t>
      </w:r>
    </w:p>
    <w:p w14:paraId="2CA04950" w14:textId="77777777" w:rsidR="000C2E44" w:rsidRDefault="000C2E44" w:rsidP="000C2E4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2E44">
        <w:rPr>
          <w:rFonts w:ascii="宋体" w:eastAsia="宋体" w:hAnsi="Times New Roman" w:hint="eastAsia"/>
          <w:color w:val="000000"/>
        </w:rPr>
        <w:t>代表联和、联新、金浦、钟鼎、涌金、上汽股权投资、沣石等知名基金参与私募投资并提供法律服务。</w:t>
      </w:r>
    </w:p>
    <w:p w14:paraId="4F0C0B88" w14:textId="77777777" w:rsidR="000C2E44" w:rsidRDefault="000C2E44" w:rsidP="000C2E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C2E44">
        <w:rPr>
          <w:rFonts w:ascii="宋体" w:eastAsia="宋体" w:hAnsi="宋体" w:hint="eastAsia"/>
          <w:b/>
          <w:sz w:val="24"/>
        </w:rPr>
        <w:t>教育背景</w:t>
      </w:r>
    </w:p>
    <w:p w14:paraId="60FF50A7" w14:textId="77777777" w:rsidR="000C2E44" w:rsidRDefault="000C2E44" w:rsidP="000C2E4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2E44">
        <w:rPr>
          <w:rFonts w:ascii="宋体" w:eastAsia="宋体" w:hAnsi="Times New Roman" w:hint="eastAsia"/>
          <w:color w:val="000000"/>
        </w:rPr>
        <w:t>复旦大学，法学学士，</w:t>
      </w:r>
      <w:r w:rsidRPr="000C2E44">
        <w:rPr>
          <w:rFonts w:ascii="宋体" w:eastAsia="宋体" w:hAnsi="Times New Roman"/>
          <w:color w:val="000000"/>
        </w:rPr>
        <w:t>2001</w:t>
      </w:r>
    </w:p>
    <w:p w14:paraId="34435A8D" w14:textId="77777777" w:rsidR="000C2E44" w:rsidRDefault="000C2E44" w:rsidP="000C2E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C2E44">
        <w:rPr>
          <w:rFonts w:ascii="宋体" w:eastAsia="宋体" w:hAnsi="宋体" w:hint="eastAsia"/>
          <w:b/>
          <w:sz w:val="24"/>
        </w:rPr>
        <w:t>执业资格</w:t>
      </w:r>
    </w:p>
    <w:p w14:paraId="736CC078" w14:textId="77777777" w:rsidR="000C2E44" w:rsidRDefault="000C2E44" w:rsidP="000C2E4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2E44">
        <w:rPr>
          <w:rFonts w:ascii="宋体" w:eastAsia="宋体" w:hAnsi="Times New Roman" w:hint="eastAsia"/>
          <w:color w:val="000000"/>
        </w:rPr>
        <w:t>中华人民共和国执业律师</w:t>
      </w:r>
    </w:p>
    <w:p w14:paraId="08F1B6DE" w14:textId="77777777" w:rsidR="000C2E44" w:rsidRDefault="000C2E44" w:rsidP="000C2E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C2E44">
        <w:rPr>
          <w:rFonts w:ascii="宋体" w:eastAsia="宋体" w:hAnsi="宋体" w:hint="eastAsia"/>
          <w:b/>
          <w:sz w:val="24"/>
        </w:rPr>
        <w:t>职业背景</w:t>
      </w:r>
    </w:p>
    <w:p w14:paraId="4F0A196B" w14:textId="137DBB7C" w:rsidR="00A46A04" w:rsidRPr="000C2E44" w:rsidRDefault="000C2E44" w:rsidP="000C2E4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2E44">
        <w:rPr>
          <w:rFonts w:ascii="宋体" w:eastAsia="宋体" w:hAnsi="Times New Roman" w:hint="eastAsia"/>
          <w:color w:val="000000"/>
        </w:rPr>
        <w:t>陈律师从事资本市场、并购及投融资相关法律业务二十余载，积累了丰富的项目经验。自</w:t>
      </w:r>
      <w:r w:rsidRPr="000C2E44">
        <w:rPr>
          <w:rFonts w:ascii="宋体" w:eastAsia="宋体" w:hAnsi="Times New Roman"/>
          <w:color w:val="000000"/>
        </w:rPr>
        <w:t>2019年2月起，陈律师担任中国证监会第18届发审委委员，专职从事A股首发、再融资的审核工作，至2021年12月卸任。陈律师在资本市场的耕耘始于2001年加入本所，并于2022年重新加入本所的上海办公室担任资本市场合伙人。</w:t>
      </w:r>
    </w:p>
    <w:sectPr w:rsidR="00A46A04" w:rsidRPr="000C2E4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F481B"/>
    <w:multiLevelType w:val="singleLevel"/>
    <w:tmpl w:val="951865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1F370AC"/>
    <w:multiLevelType w:val="singleLevel"/>
    <w:tmpl w:val="D89EBC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EEF1D0B"/>
    <w:multiLevelType w:val="singleLevel"/>
    <w:tmpl w:val="B31A86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FAC72A0"/>
    <w:multiLevelType w:val="singleLevel"/>
    <w:tmpl w:val="B31A86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421D074A"/>
    <w:multiLevelType w:val="singleLevel"/>
    <w:tmpl w:val="CD3AE3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9D0028B"/>
    <w:multiLevelType w:val="singleLevel"/>
    <w:tmpl w:val="01D6DE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F4C4CCA"/>
    <w:multiLevelType w:val="singleLevel"/>
    <w:tmpl w:val="1D1878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09C0753"/>
    <w:multiLevelType w:val="singleLevel"/>
    <w:tmpl w:val="B4721B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5520D9A"/>
    <w:multiLevelType w:val="singleLevel"/>
    <w:tmpl w:val="1ECA77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7"/>
  </w:num>
  <w:num w:numId="5">
    <w:abstractNumId w:val="8"/>
  </w:num>
  <w:num w:numId="6">
    <w:abstractNumId w:val="9"/>
  </w:num>
  <w:num w:numId="7">
    <w:abstractNumId w:val="2"/>
  </w:num>
  <w:num w:numId="8">
    <w:abstractNumId w:val="0"/>
  </w:num>
  <w:num w:numId="9">
    <w:abstractNumId w:val="6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2E44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C2E4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C2E4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8C940E-2DA3-4053-9B07-FC3724DA3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2026-10-17T05:11:00Z</dcterms:created>
  <dcterms:modified xsi:type="dcterms:W3CDTF">2026-10-17T05:11:00Z</dcterms:modified>
</cp:coreProperties>
</file>