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5A977F" w:rsidR="0049405C" w:rsidRPr="00187BAA" w:rsidRDefault="0094543C" w:rsidP="0094543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4543C">
              <w:rPr>
                <w:rFonts w:ascii="宋体" w:eastAsia="宋体" w:hAnsi="Times New Roman" w:hint="eastAsia"/>
                <w:b/>
                <w:color w:val="000000"/>
                <w:sz w:val="48"/>
              </w:rPr>
              <w:t>刘敏彦</w:t>
            </w:r>
            <w:bookmarkEnd w:id="0"/>
          </w:p>
          <w:p w14:paraId="706EB16B" w14:textId="4872DFD1" w:rsidR="0049405C" w:rsidRPr="00187BAA" w:rsidRDefault="0094543C" w:rsidP="0094543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4543C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7A01385A" w:rsidR="0049405C" w:rsidRPr="00187BAA" w:rsidRDefault="0094543C" w:rsidP="0094543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4543C">
              <w:rPr>
                <w:rFonts w:ascii="宋体" w:eastAsia="宋体" w:hAnsi="Times New Roman"/>
                <w:color w:val="000000"/>
              </w:rPr>
              <w:t xml:space="preserve">+86 10 5769 5695 </w:t>
            </w:r>
            <w:bookmarkEnd w:id="3"/>
          </w:p>
          <w:p w14:paraId="4F910ACA" w14:textId="1BDBD653" w:rsidR="0049405C" w:rsidRPr="00187BAA" w:rsidRDefault="0094543C" w:rsidP="0094543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4543C">
              <w:rPr>
                <w:rFonts w:ascii="宋体" w:eastAsia="宋体" w:hAnsi="Times New Roman"/>
                <w:color w:val="000000"/>
              </w:rPr>
              <w:t>ingrid.lau@fangdalaw.com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94DBB9" w:rsidR="0049405C" w:rsidRPr="00187BAA" w:rsidRDefault="0094543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5BE44E2" wp14:editId="40EA088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BB9EAEB" w:rsidR="009465FB" w:rsidRPr="00187BAA" w:rsidRDefault="0094543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4543C">
              <w:rPr>
                <w:rFonts w:ascii="宋体" w:eastAsia="宋体" w:hAnsi="Times New Roman" w:hint="eastAsia"/>
                <w:color w:val="000000"/>
                <w:szCs w:val="21"/>
              </w:rPr>
              <w:t>刘敏彦律师主要从事跨境资本市场领域的法律业务，为债务和股权证券发行交易中的发行人或承销商提供法律服务。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03EA44" w14:textId="77777777" w:rsidR="0094543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7E666C4" w14:textId="77777777" w:rsidR="0094543C" w:rsidRDefault="0094543C" w:rsidP="009454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543C">
        <w:rPr>
          <w:rFonts w:ascii="宋体" w:eastAsia="宋体" w:hAnsi="宋体" w:hint="eastAsia"/>
          <w:b/>
          <w:sz w:val="24"/>
        </w:rPr>
        <w:t>近期代理的主要案件</w:t>
      </w:r>
    </w:p>
    <w:p w14:paraId="0E067730" w14:textId="77777777" w:rsidR="0094543C" w:rsidRDefault="0094543C" w:rsidP="0094543C">
      <w:pPr>
        <w:pStyle w:val="af5"/>
        <w:spacing w:before="12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债券类发行</w:t>
      </w:r>
    </w:p>
    <w:p w14:paraId="07227381" w14:textId="77777777" w:rsidR="0094543C" w:rsidRDefault="0094543C" w:rsidP="0094543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鲁商集团、山东财金、济南轨交、济南能源、青岛动车小镇、西安航天高技术、西安航空城、肇庆国联、宁波鄞城、镇江交产、盐城高新、淮安投控、重庆涪陵实业等中资企业的境外债券发行项目</w:t>
      </w:r>
    </w:p>
    <w:p w14:paraId="3A27C66D" w14:textId="77777777" w:rsidR="0094543C" w:rsidRDefault="0094543C" w:rsidP="0094543C">
      <w:pPr>
        <w:pStyle w:val="af5"/>
        <w:spacing w:before="12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股权类发行</w:t>
      </w:r>
    </w:p>
    <w:p w14:paraId="7EAC09A3" w14:textId="77777777" w:rsidR="0094543C" w:rsidRDefault="0094543C" w:rsidP="0094543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广州农村商业银行、北京博奇环保科技公司、中粮肉食等企业的香港上市和全球发行</w:t>
      </w:r>
      <w:r w:rsidRPr="0094543C">
        <w:rPr>
          <w:rFonts w:ascii="宋体" w:eastAsia="宋体" w:hAnsi="Times New Roman"/>
          <w:color w:val="000000"/>
        </w:rPr>
        <w:t xml:space="preserve">   </w:t>
      </w:r>
      <w:r w:rsidRPr="0094543C">
        <w:rPr>
          <w:rFonts w:ascii="宋体" w:eastAsia="宋体" w:hAnsi="Times New Roman"/>
          <w:color w:val="000000"/>
        </w:rPr>
        <w:t> </w:t>
      </w:r>
      <w:r w:rsidRPr="0094543C">
        <w:rPr>
          <w:rFonts w:ascii="宋体" w:eastAsia="宋体" w:hAnsi="Times New Roman"/>
          <w:color w:val="000000"/>
        </w:rPr>
        <w:t xml:space="preserve"> *包括加入方达前完成的项目</w:t>
      </w:r>
    </w:p>
    <w:p w14:paraId="41177ABB" w14:textId="77777777" w:rsidR="0094543C" w:rsidRDefault="0094543C" w:rsidP="009454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543C">
        <w:rPr>
          <w:rFonts w:ascii="宋体" w:eastAsia="宋体" w:hAnsi="宋体" w:hint="eastAsia"/>
          <w:b/>
          <w:sz w:val="24"/>
        </w:rPr>
        <w:t>教育背景</w:t>
      </w:r>
    </w:p>
    <w:p w14:paraId="0E82D7F4" w14:textId="77777777" w:rsidR="0094543C" w:rsidRDefault="0094543C" w:rsidP="0094543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美国芝加哥大学法学院，法学硕士</w:t>
      </w:r>
    </w:p>
    <w:p w14:paraId="1F44867C" w14:textId="77777777" w:rsidR="0094543C" w:rsidRDefault="0094543C" w:rsidP="0094543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北京大学法学院，法学硕士</w:t>
      </w:r>
    </w:p>
    <w:p w14:paraId="1DEB29B7" w14:textId="77777777" w:rsidR="0094543C" w:rsidRDefault="0094543C" w:rsidP="0094543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英国华威大学，法律及商科学士</w:t>
      </w:r>
    </w:p>
    <w:p w14:paraId="1A502149" w14:textId="77777777" w:rsidR="0094543C" w:rsidRDefault="0094543C" w:rsidP="009454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543C">
        <w:rPr>
          <w:rFonts w:ascii="宋体" w:eastAsia="宋体" w:hAnsi="宋体" w:hint="eastAsia"/>
          <w:b/>
          <w:sz w:val="24"/>
        </w:rPr>
        <w:t>执业资格</w:t>
      </w:r>
    </w:p>
    <w:p w14:paraId="558930FE" w14:textId="77777777" w:rsidR="0094543C" w:rsidRDefault="0094543C" w:rsidP="0094543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美国纽约州律师资格</w:t>
      </w:r>
    </w:p>
    <w:p w14:paraId="12928CB7" w14:textId="77777777" w:rsidR="0094543C" w:rsidRDefault="0094543C" w:rsidP="0094543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543C">
        <w:rPr>
          <w:rFonts w:ascii="宋体" w:eastAsia="宋体" w:hAnsi="宋体" w:hint="eastAsia"/>
          <w:b/>
          <w:sz w:val="24"/>
        </w:rPr>
        <w:t>职业背景</w:t>
      </w:r>
    </w:p>
    <w:p w14:paraId="4F0A196B" w14:textId="298283E4" w:rsidR="00A46A04" w:rsidRPr="0094543C" w:rsidRDefault="0094543C" w:rsidP="0094543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543C">
        <w:rPr>
          <w:rFonts w:ascii="宋体" w:eastAsia="宋体" w:hAnsi="Times New Roman" w:hint="eastAsia"/>
          <w:color w:val="000000"/>
        </w:rPr>
        <w:t>刘敏彦律师于</w:t>
      </w:r>
      <w:r w:rsidRPr="0094543C">
        <w:rPr>
          <w:rFonts w:ascii="宋体" w:eastAsia="宋体" w:hAnsi="Times New Roman"/>
          <w:color w:val="000000"/>
        </w:rPr>
        <w:t>2018年加入方达律师事务所。在此之前，她曾在金杜律师事务所从事跨境资本市场业务。</w:t>
      </w:r>
    </w:p>
    <w:sectPr w:rsidR="00A46A04" w:rsidRPr="0094543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52989"/>
    <w:multiLevelType w:val="singleLevel"/>
    <w:tmpl w:val="70C0D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7DC39BB"/>
    <w:multiLevelType w:val="singleLevel"/>
    <w:tmpl w:val="D5863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435C6BCB"/>
    <w:multiLevelType w:val="singleLevel"/>
    <w:tmpl w:val="665074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A5444C5"/>
    <w:multiLevelType w:val="singleLevel"/>
    <w:tmpl w:val="1E144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0AD49AC"/>
    <w:multiLevelType w:val="singleLevel"/>
    <w:tmpl w:val="1E144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97F49CA"/>
    <w:multiLevelType w:val="singleLevel"/>
    <w:tmpl w:val="6FD83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7E8E54B6"/>
    <w:multiLevelType w:val="singleLevel"/>
    <w:tmpl w:val="048E2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E9D2AB8"/>
    <w:multiLevelType w:val="singleLevel"/>
    <w:tmpl w:val="CA7C8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543C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543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543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6A718C-698A-4EA5-8421-8F62DF90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2026-07-06T22:36:00Z</dcterms:created>
  <dcterms:modified xsi:type="dcterms:W3CDTF">2026-07-06T22:36:00Z</dcterms:modified>
</cp:coreProperties>
</file>