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36F64D8" w:rsidR="0049405C" w:rsidRPr="00187BAA" w:rsidRDefault="003F1FBB" w:rsidP="003F1FBB">
            <w:pPr>
              <w:spacing w:line="720" w:lineRule="auto"/>
              <w:rPr>
                <w:rFonts w:ascii="宋体" w:eastAsia="宋体" w:hAnsi="宋体"/>
                <w:color w:val="545551"/>
              </w:rPr>
            </w:pPr>
            <w:bookmarkStart w:id="0" w:name="xingming"/>
            <w:bookmarkStart w:id="1" w:name="_GoBack"/>
            <w:bookmarkEnd w:id="1"/>
            <w:r w:rsidRPr="003F1FBB">
              <w:rPr>
                <w:rFonts w:ascii="宋体" w:eastAsia="宋体" w:hAnsi="Times New Roman" w:hint="eastAsia"/>
                <w:b/>
                <w:color w:val="000000"/>
                <w:sz w:val="48"/>
              </w:rPr>
              <w:t>武丹蕾</w:t>
            </w:r>
            <w:bookmarkEnd w:id="0"/>
          </w:p>
          <w:p w14:paraId="706EB16B" w14:textId="437C90A7" w:rsidR="0049405C" w:rsidRPr="00187BAA" w:rsidRDefault="003F1FBB" w:rsidP="003F1FBB">
            <w:pPr>
              <w:spacing w:line="360" w:lineRule="auto"/>
              <w:rPr>
                <w:rFonts w:ascii="宋体" w:eastAsia="宋体" w:hAnsi="宋体"/>
                <w:b/>
                <w:bCs/>
                <w:color w:val="545551"/>
              </w:rPr>
            </w:pPr>
            <w:bookmarkStart w:id="2" w:name="didian"/>
            <w:r w:rsidRPr="003F1FBB">
              <w:rPr>
                <w:rFonts w:ascii="宋体" w:eastAsia="宋体" w:hAnsi="Times New Roman" w:hint="eastAsia"/>
                <w:b/>
                <w:bCs/>
                <w:color w:val="000000"/>
              </w:rPr>
              <w:t>资深律师·北京</w:t>
            </w:r>
            <w:bookmarkEnd w:id="2"/>
          </w:p>
          <w:p w14:paraId="6199424A" w14:textId="1CC63CDF" w:rsidR="0049405C" w:rsidRPr="00187BAA" w:rsidRDefault="003F1FBB" w:rsidP="003F1FBB">
            <w:pPr>
              <w:spacing w:line="360" w:lineRule="auto"/>
              <w:rPr>
                <w:rFonts w:ascii="宋体" w:eastAsia="宋体" w:hAnsi="宋体"/>
                <w:color w:val="545551"/>
              </w:rPr>
            </w:pPr>
            <w:bookmarkStart w:id="3" w:name="dianhua"/>
            <w:r w:rsidRPr="003F1FBB">
              <w:rPr>
                <w:rFonts w:ascii="宋体" w:eastAsia="宋体" w:hAnsi="Times New Roman"/>
                <w:color w:val="000000"/>
              </w:rPr>
              <w:t xml:space="preserve">+86 10 5769 5791 </w:t>
            </w:r>
            <w:bookmarkEnd w:id="3"/>
          </w:p>
          <w:p w14:paraId="4F910ACA" w14:textId="7C1A078E" w:rsidR="0049405C" w:rsidRPr="00187BAA" w:rsidRDefault="003F1FBB" w:rsidP="003F1FBB">
            <w:pPr>
              <w:spacing w:line="360" w:lineRule="auto"/>
              <w:rPr>
                <w:rFonts w:ascii="宋体" w:eastAsia="宋体" w:hAnsi="宋体"/>
                <w:color w:val="000000"/>
              </w:rPr>
            </w:pPr>
            <w:bookmarkStart w:id="4" w:name="youxiang"/>
            <w:r w:rsidRPr="003F1FBB">
              <w:rPr>
                <w:rFonts w:ascii="宋体" w:eastAsia="宋体" w:hAnsi="Times New Roman"/>
                <w:color w:val="000000"/>
              </w:rPr>
              <w:t>danae.wu@fangdalaw.com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96C675" w:rsidR="0049405C" w:rsidRPr="00187BAA" w:rsidRDefault="003F1F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4848DB" wp14:editId="3390202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A0DCE8" w:rsidR="009465FB" w:rsidRPr="00187BAA" w:rsidRDefault="003F1FBB" w:rsidP="007177F3">
            <w:pPr>
              <w:rPr>
                <w:rFonts w:ascii="宋体" w:eastAsia="宋体" w:hAnsi="宋体"/>
                <w:color w:val="000000"/>
                <w:szCs w:val="21"/>
              </w:rPr>
            </w:pPr>
            <w:bookmarkStart w:id="6" w:name="zhiyelingyu"/>
            <w:r w:rsidRPr="003F1FBB">
              <w:rPr>
                <w:rFonts w:ascii="宋体" w:eastAsia="宋体" w:hAnsi="Times New Roman" w:hint="eastAsia"/>
                <w:color w:val="000000"/>
                <w:szCs w:val="21"/>
              </w:rPr>
              <w:t>武丹蕾律师的主要执业领域包括与知识产权相关的诉讼、许可及交易。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ED1167" w14:textId="77777777" w:rsidR="003F1F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6153E2" w14:textId="77777777" w:rsidR="003F1FBB" w:rsidRDefault="003F1FBB" w:rsidP="003F1FBB">
      <w:pPr>
        <w:pStyle w:val="af5"/>
        <w:spacing w:before="120"/>
        <w:rPr>
          <w:rFonts w:ascii="宋体" w:eastAsia="宋体" w:hAnsi="Times New Roman"/>
          <w:color w:val="000000"/>
        </w:rPr>
      </w:pPr>
      <w:r w:rsidRPr="003F1FBB">
        <w:rPr>
          <w:rFonts w:ascii="宋体" w:eastAsia="宋体" w:hAnsi="Times New Roman" w:hint="eastAsia"/>
          <w:color w:val="000000"/>
        </w:rPr>
        <w:t>武丹蕾律师在处理复杂知识产权诉讼及非诉方面具有丰富的经验。武丹蕾律师与诸多行业领先公司保持合作，包括半导体、新能源、通讯、化工、医药、医疗器械、制造、时尚、体育及消费品等。</w:t>
      </w:r>
    </w:p>
    <w:p w14:paraId="0EBE67FE"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近期代理的主要案件</w:t>
      </w:r>
    </w:p>
    <w:p w14:paraId="2167530A" w14:textId="77777777" w:rsidR="003F1FBB" w:rsidRDefault="003F1FBB" w:rsidP="003F1FBB">
      <w:pPr>
        <w:pStyle w:val="af5"/>
        <w:spacing w:before="120"/>
        <w:rPr>
          <w:rFonts w:ascii="宋体" w:eastAsia="宋体" w:hAnsi="Times New Roman"/>
          <w:color w:val="000000"/>
        </w:rPr>
      </w:pPr>
      <w:r w:rsidRPr="003F1FBB">
        <w:rPr>
          <w:rFonts w:ascii="宋体" w:eastAsia="宋体" w:hAnsi="Times New Roman" w:hint="eastAsia"/>
          <w:color w:val="000000"/>
        </w:rPr>
        <w:t>知识产权诉讼案件</w:t>
      </w:r>
    </w:p>
    <w:p w14:paraId="03519891" w14:textId="77777777" w:rsidR="003F1FBB" w:rsidRDefault="003F1FBB" w:rsidP="003F1FBB">
      <w:pPr>
        <w:pStyle w:val="af5"/>
        <w:numPr>
          <w:ilvl w:val="0"/>
          <w:numId w:val="4"/>
        </w:numPr>
        <w:spacing w:before="120"/>
        <w:ind w:left="690" w:hanging="240"/>
        <w:rPr>
          <w:rFonts w:ascii="宋体" w:eastAsia="宋体" w:hAnsi="Times New Roman"/>
          <w:color w:val="000000"/>
        </w:rPr>
      </w:pPr>
      <w:r w:rsidRPr="003F1FBB">
        <w:rPr>
          <w:rFonts w:ascii="宋体" w:eastAsia="宋体" w:hAnsi="Times New Roman" w:hint="eastAsia"/>
          <w:color w:val="000000"/>
        </w:rPr>
        <w:t>代表一家国际建材机械龙头企业在最高人民法院、江苏省高级人民法院、江苏省南京市中级人民法院、国家知识产权局处理多起化工领域商业秘密侵权及专利无效案件，并成功在最高人民法院五人合议庭审理的二审程序中获得客户满意的结果</w:t>
      </w:r>
    </w:p>
    <w:p w14:paraId="2CCEFAF7" w14:textId="77777777" w:rsidR="003F1FBB" w:rsidRDefault="003F1FBB" w:rsidP="003F1FBB">
      <w:pPr>
        <w:pStyle w:val="af5"/>
        <w:numPr>
          <w:ilvl w:val="0"/>
          <w:numId w:val="5"/>
        </w:numPr>
        <w:spacing w:before="120"/>
        <w:ind w:left="690" w:hanging="240"/>
        <w:rPr>
          <w:rFonts w:ascii="宋体" w:eastAsia="宋体" w:hAnsi="Times New Roman"/>
          <w:color w:val="000000"/>
        </w:rPr>
      </w:pPr>
      <w:r w:rsidRPr="003F1FBB">
        <w:rPr>
          <w:rFonts w:ascii="宋体" w:eastAsia="宋体" w:hAnsi="Times New Roman" w:hint="eastAsia"/>
          <w:color w:val="000000"/>
        </w:rPr>
        <w:t>为日本半导体能源研究所处理其与一家国际领先的半导体制造商之间的多起专利侵权纠纷，双方最终达成和解</w:t>
      </w:r>
    </w:p>
    <w:p w14:paraId="0D164B8E" w14:textId="77777777" w:rsidR="003F1FBB" w:rsidRDefault="003F1FBB" w:rsidP="003F1FBB">
      <w:pPr>
        <w:pStyle w:val="af5"/>
        <w:numPr>
          <w:ilvl w:val="0"/>
          <w:numId w:val="6"/>
        </w:numPr>
        <w:spacing w:before="120"/>
        <w:ind w:left="690" w:hanging="240"/>
        <w:rPr>
          <w:rFonts w:ascii="宋体" w:eastAsia="宋体" w:hAnsi="Times New Roman"/>
          <w:color w:val="000000"/>
        </w:rPr>
      </w:pPr>
      <w:r w:rsidRPr="003F1FBB">
        <w:rPr>
          <w:rFonts w:ascii="宋体" w:eastAsia="宋体" w:hAnsi="Times New Roman" w:hint="eastAsia"/>
          <w:color w:val="000000"/>
        </w:rPr>
        <w:t>为一家国际领先的石化企业针对其前中国合作者及其他侵权企业盗用其商业秘密处理侵权相关事宜</w:t>
      </w:r>
    </w:p>
    <w:p w14:paraId="0741A813" w14:textId="77777777" w:rsidR="003F1FBB" w:rsidRDefault="003F1FBB" w:rsidP="003F1FBB">
      <w:pPr>
        <w:pStyle w:val="af5"/>
        <w:numPr>
          <w:ilvl w:val="0"/>
          <w:numId w:val="7"/>
        </w:numPr>
        <w:spacing w:before="120"/>
        <w:ind w:left="690" w:hanging="240"/>
        <w:rPr>
          <w:rFonts w:ascii="宋体" w:eastAsia="宋体" w:hAnsi="Times New Roman"/>
          <w:color w:val="000000"/>
        </w:rPr>
      </w:pPr>
      <w:r w:rsidRPr="003F1FBB">
        <w:rPr>
          <w:rFonts w:ascii="宋体" w:eastAsia="宋体" w:hAnsi="Times New Roman" w:hint="eastAsia"/>
          <w:color w:val="000000"/>
        </w:rPr>
        <w:t>为辉瑞公司处理在最高人民法院和北京知识产权法院的一起软件著作权纠纷</w:t>
      </w:r>
    </w:p>
    <w:p w14:paraId="20C2D360" w14:textId="77777777" w:rsidR="003F1FBB" w:rsidRDefault="003F1FBB" w:rsidP="003F1FBB">
      <w:pPr>
        <w:pStyle w:val="af5"/>
        <w:numPr>
          <w:ilvl w:val="0"/>
          <w:numId w:val="8"/>
        </w:numPr>
        <w:spacing w:before="120"/>
        <w:ind w:left="690" w:hanging="240"/>
        <w:rPr>
          <w:rFonts w:ascii="宋体" w:eastAsia="宋体" w:hAnsi="Times New Roman"/>
          <w:color w:val="000000"/>
        </w:rPr>
      </w:pPr>
      <w:r w:rsidRPr="003F1FBB">
        <w:rPr>
          <w:rFonts w:ascii="宋体" w:eastAsia="宋体" w:hAnsi="Times New Roman" w:hint="eastAsia"/>
          <w:color w:val="000000"/>
        </w:rPr>
        <w:t>代表肯纳金属、山特维克、拉尔夫劳伦、迪乐泰、威睿、克瑞、海天味业、红宝石等多个知名美国、欧洲及中国不同行业公司处理多起复杂法律纠纷案件，包括不正当竞争、商标权侵权、著作权侵权、商标行政纠纷，涉及北京、上海、广东、浙江等地检察监督、法院诉讼、国家知识产权局程序等</w:t>
      </w:r>
    </w:p>
    <w:p w14:paraId="44619D08" w14:textId="77777777" w:rsidR="003F1FBB" w:rsidRDefault="003F1FBB" w:rsidP="003F1FBB">
      <w:pPr>
        <w:pStyle w:val="af5"/>
        <w:numPr>
          <w:ilvl w:val="0"/>
          <w:numId w:val="9"/>
        </w:numPr>
        <w:spacing w:before="120"/>
        <w:ind w:left="690" w:hanging="240"/>
        <w:rPr>
          <w:rFonts w:ascii="宋体" w:eastAsia="宋体" w:hAnsi="Times New Roman"/>
          <w:color w:val="000000"/>
        </w:rPr>
      </w:pPr>
      <w:r w:rsidRPr="003F1FBB">
        <w:rPr>
          <w:rFonts w:ascii="宋体" w:eastAsia="宋体" w:hAnsi="Times New Roman" w:hint="eastAsia"/>
          <w:color w:val="000000"/>
        </w:rPr>
        <w:t>为多家全球行业领先的公司处理其与竞争者之间的多起专利侵权及专利无效纠纷案件，包括显示、制冷配件、单细胞测序、眼科医疗器械公司等</w:t>
      </w:r>
    </w:p>
    <w:p w14:paraId="015B0135" w14:textId="77777777" w:rsidR="003F1FBB" w:rsidRDefault="003F1FBB" w:rsidP="003F1FBB">
      <w:pPr>
        <w:pStyle w:val="af5"/>
        <w:spacing w:before="120"/>
        <w:rPr>
          <w:rFonts w:ascii="宋体" w:eastAsia="宋体" w:hAnsi="Times New Roman"/>
          <w:color w:val="000000"/>
        </w:rPr>
      </w:pPr>
      <w:r w:rsidRPr="003F1FBB">
        <w:rPr>
          <w:rFonts w:ascii="宋体" w:eastAsia="宋体" w:hAnsi="Times New Roman" w:hint="eastAsia"/>
          <w:color w:val="000000"/>
        </w:rPr>
        <w:t>知识产权非诉讼项目</w:t>
      </w:r>
    </w:p>
    <w:p w14:paraId="66C75D1C" w14:textId="77777777" w:rsidR="003F1FBB" w:rsidRDefault="003F1FBB" w:rsidP="003F1FBB">
      <w:pPr>
        <w:pStyle w:val="af5"/>
        <w:numPr>
          <w:ilvl w:val="0"/>
          <w:numId w:val="10"/>
        </w:numPr>
        <w:spacing w:before="120"/>
        <w:ind w:left="690" w:hanging="240"/>
        <w:rPr>
          <w:rFonts w:ascii="宋体" w:eastAsia="宋体" w:hAnsi="Times New Roman"/>
          <w:color w:val="000000"/>
        </w:rPr>
      </w:pPr>
      <w:r w:rsidRPr="003F1FBB">
        <w:rPr>
          <w:rFonts w:ascii="宋体" w:eastAsia="宋体" w:hAnsi="Times New Roman" w:hint="eastAsia"/>
          <w:color w:val="000000"/>
        </w:rPr>
        <w:t>向一家智能手机生产商就其获得通信、音视频编解码等领域标准必要专利许可提供咨询意见</w:t>
      </w:r>
    </w:p>
    <w:p w14:paraId="19275EDF" w14:textId="77777777" w:rsidR="003F1FBB" w:rsidRDefault="003F1FBB" w:rsidP="003F1FBB">
      <w:pPr>
        <w:pStyle w:val="af5"/>
        <w:numPr>
          <w:ilvl w:val="0"/>
          <w:numId w:val="11"/>
        </w:numPr>
        <w:spacing w:before="120"/>
        <w:ind w:left="690" w:hanging="240"/>
        <w:rPr>
          <w:rFonts w:ascii="宋体" w:eastAsia="宋体" w:hAnsi="Times New Roman"/>
          <w:color w:val="000000"/>
        </w:rPr>
      </w:pPr>
      <w:r w:rsidRPr="003F1FBB">
        <w:rPr>
          <w:rFonts w:ascii="宋体" w:eastAsia="宋体" w:hAnsi="Times New Roman" w:hint="eastAsia"/>
          <w:color w:val="000000"/>
        </w:rPr>
        <w:t>代表一家瑞士公司应对国家体育总局关于其运动气枪产品安全和设计合规问题的调查</w:t>
      </w:r>
    </w:p>
    <w:p w14:paraId="2CAD36F2" w14:textId="77777777" w:rsidR="003F1FBB" w:rsidRDefault="003F1FBB" w:rsidP="003F1FBB">
      <w:pPr>
        <w:pStyle w:val="af5"/>
        <w:numPr>
          <w:ilvl w:val="0"/>
          <w:numId w:val="12"/>
        </w:numPr>
        <w:spacing w:before="120"/>
        <w:ind w:left="690" w:hanging="240"/>
        <w:rPr>
          <w:rFonts w:ascii="宋体" w:eastAsia="宋体" w:hAnsi="Times New Roman"/>
          <w:color w:val="000000"/>
        </w:rPr>
      </w:pPr>
      <w:r w:rsidRPr="003F1FBB">
        <w:rPr>
          <w:rFonts w:ascii="宋体" w:eastAsia="宋体" w:hAnsi="Times New Roman" w:hint="eastAsia"/>
          <w:color w:val="000000"/>
        </w:rPr>
        <w:t>为星巴克、飞利浦、台积电、武田制药、马士基、日本烟草、威睿、美卓、渤健、霍尼韦尔、希音、中金、药明康德、晶泰科技、蔚来、芯和半导体、长江存储、原子高科、博雅辑因、视源股份、广晟数码、鼎晖投资等多家中外生物医药、石油化工、半导体、制造科技、消费品企业提供知识产权相关服务</w:t>
      </w:r>
    </w:p>
    <w:p w14:paraId="780B1A0A" w14:textId="77777777" w:rsidR="003F1FBB" w:rsidRDefault="003F1FBB" w:rsidP="003F1FBB">
      <w:pPr>
        <w:pStyle w:val="af5"/>
        <w:numPr>
          <w:ilvl w:val="0"/>
          <w:numId w:val="13"/>
        </w:numPr>
        <w:spacing w:before="120"/>
        <w:ind w:left="690" w:hanging="240"/>
        <w:rPr>
          <w:rFonts w:ascii="宋体" w:eastAsia="宋体" w:hAnsi="Times New Roman"/>
          <w:color w:val="000000"/>
        </w:rPr>
      </w:pPr>
      <w:r w:rsidRPr="003F1FBB">
        <w:rPr>
          <w:rFonts w:ascii="宋体" w:eastAsia="宋体" w:hAnsi="Times New Roman" w:hint="eastAsia"/>
          <w:color w:val="000000"/>
        </w:rPr>
        <w:t>代表</w:t>
      </w:r>
      <w:r w:rsidRPr="003F1FBB">
        <w:rPr>
          <w:rFonts w:ascii="宋体" w:eastAsia="宋体" w:hAnsi="Times New Roman"/>
          <w:color w:val="000000"/>
        </w:rPr>
        <w:t>L Catterton为其与英国标志性跑车品牌Lotus旗下豪华电动车制造商路特斯科技的并购交易提供知识产权尽职调查服务</w:t>
      </w:r>
    </w:p>
    <w:p w14:paraId="784B7AC1" w14:textId="77777777" w:rsidR="003F1FBB" w:rsidRDefault="003F1FBB" w:rsidP="003F1FBB">
      <w:pPr>
        <w:pStyle w:val="af5"/>
        <w:numPr>
          <w:ilvl w:val="0"/>
          <w:numId w:val="14"/>
        </w:numPr>
        <w:spacing w:before="120"/>
        <w:ind w:left="690" w:hanging="240"/>
        <w:rPr>
          <w:rFonts w:ascii="宋体" w:eastAsia="宋体" w:hAnsi="Times New Roman"/>
          <w:color w:val="000000"/>
        </w:rPr>
      </w:pPr>
      <w:r w:rsidRPr="003F1FBB">
        <w:rPr>
          <w:rFonts w:ascii="宋体" w:eastAsia="宋体" w:hAnsi="Times New Roman" w:hint="eastAsia"/>
          <w:color w:val="000000"/>
        </w:rPr>
        <w:t>应中信资本、蚂蚁集团、中移资本、国调基金、赛诺菲、阿斯利康等投资人和公司要求，针对电子、制造、汽车、生物医药等领域的公司进行知识产权尽职调查，并撰写法律意见</w:t>
      </w:r>
    </w:p>
    <w:p w14:paraId="79BA3564"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教育背景</w:t>
      </w:r>
    </w:p>
    <w:p w14:paraId="28FB115F" w14:textId="77777777" w:rsidR="003F1FBB" w:rsidRDefault="003F1FBB" w:rsidP="003F1FBB">
      <w:pPr>
        <w:pStyle w:val="af5"/>
        <w:numPr>
          <w:ilvl w:val="0"/>
          <w:numId w:val="15"/>
        </w:numPr>
        <w:spacing w:before="120"/>
        <w:ind w:left="690" w:hanging="240"/>
        <w:rPr>
          <w:rFonts w:ascii="宋体" w:eastAsia="宋体" w:hAnsi="Times New Roman"/>
          <w:color w:val="000000"/>
        </w:rPr>
      </w:pPr>
      <w:r w:rsidRPr="003F1FBB">
        <w:rPr>
          <w:rFonts w:ascii="宋体" w:eastAsia="宋体" w:hAnsi="Times New Roman" w:hint="eastAsia"/>
          <w:color w:val="000000"/>
        </w:rPr>
        <w:t>北京大学，法律博士、法律硕士</w:t>
      </w:r>
    </w:p>
    <w:p w14:paraId="0CCDCF7A" w14:textId="77777777" w:rsidR="003F1FBB" w:rsidRDefault="003F1FBB" w:rsidP="003F1FBB">
      <w:pPr>
        <w:pStyle w:val="af5"/>
        <w:numPr>
          <w:ilvl w:val="0"/>
          <w:numId w:val="16"/>
        </w:numPr>
        <w:spacing w:before="120"/>
        <w:ind w:left="690" w:hanging="240"/>
        <w:rPr>
          <w:rFonts w:ascii="宋体" w:eastAsia="宋体" w:hAnsi="Times New Roman"/>
          <w:color w:val="000000"/>
        </w:rPr>
      </w:pPr>
      <w:r w:rsidRPr="003F1FBB">
        <w:rPr>
          <w:rFonts w:ascii="宋体" w:eastAsia="宋体" w:hAnsi="Times New Roman" w:hint="eastAsia"/>
          <w:color w:val="000000"/>
        </w:rPr>
        <w:t>洛桑大学（瑞士），法律硕士交换</w:t>
      </w:r>
    </w:p>
    <w:p w14:paraId="69F27BDB" w14:textId="77777777" w:rsidR="003F1FBB" w:rsidRDefault="003F1FBB" w:rsidP="003F1FBB">
      <w:pPr>
        <w:pStyle w:val="af5"/>
        <w:numPr>
          <w:ilvl w:val="0"/>
          <w:numId w:val="17"/>
        </w:numPr>
        <w:spacing w:before="120"/>
        <w:ind w:left="690" w:hanging="240"/>
        <w:rPr>
          <w:rFonts w:ascii="宋体" w:eastAsia="宋体" w:hAnsi="Times New Roman"/>
          <w:color w:val="000000"/>
        </w:rPr>
      </w:pPr>
      <w:r w:rsidRPr="003F1FBB">
        <w:rPr>
          <w:rFonts w:ascii="宋体" w:eastAsia="宋体" w:hAnsi="Times New Roman" w:hint="eastAsia"/>
          <w:color w:val="000000"/>
        </w:rPr>
        <w:t>西南政法大学，工学学士、法学学士</w:t>
      </w:r>
    </w:p>
    <w:p w14:paraId="7C84881E"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执业资格</w:t>
      </w:r>
    </w:p>
    <w:p w14:paraId="7B4C8F81" w14:textId="77777777" w:rsidR="003F1FBB" w:rsidRDefault="003F1FBB" w:rsidP="003F1FBB">
      <w:pPr>
        <w:pStyle w:val="af5"/>
        <w:numPr>
          <w:ilvl w:val="0"/>
          <w:numId w:val="18"/>
        </w:numPr>
        <w:spacing w:before="120"/>
        <w:ind w:left="690" w:hanging="240"/>
        <w:rPr>
          <w:rFonts w:ascii="宋体" w:eastAsia="宋体" w:hAnsi="Times New Roman"/>
          <w:color w:val="000000"/>
        </w:rPr>
      </w:pPr>
      <w:r w:rsidRPr="003F1FBB">
        <w:rPr>
          <w:rFonts w:ascii="宋体" w:eastAsia="宋体" w:hAnsi="Times New Roman" w:hint="eastAsia"/>
          <w:color w:val="000000"/>
        </w:rPr>
        <w:t>中华人民共和国执业律师</w:t>
      </w:r>
    </w:p>
    <w:p w14:paraId="5C0B75FD" w14:textId="77777777" w:rsidR="003F1FBB" w:rsidRDefault="003F1FBB" w:rsidP="003F1FBB">
      <w:pPr>
        <w:pStyle w:val="af5"/>
        <w:numPr>
          <w:ilvl w:val="0"/>
          <w:numId w:val="19"/>
        </w:numPr>
        <w:spacing w:before="120"/>
        <w:ind w:left="690" w:hanging="240"/>
        <w:rPr>
          <w:rFonts w:ascii="宋体" w:eastAsia="宋体" w:hAnsi="Times New Roman"/>
          <w:color w:val="000000"/>
        </w:rPr>
      </w:pPr>
      <w:r w:rsidRPr="003F1FBB">
        <w:rPr>
          <w:rFonts w:ascii="宋体" w:eastAsia="宋体" w:hAnsi="Times New Roman" w:hint="eastAsia"/>
          <w:color w:val="000000"/>
        </w:rPr>
        <w:t>中华人民共和国执业专利代理师</w:t>
      </w:r>
    </w:p>
    <w:p w14:paraId="7A6BF99D"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工作语言</w:t>
      </w:r>
    </w:p>
    <w:p w14:paraId="0B885EA2" w14:textId="77777777" w:rsidR="003F1FBB" w:rsidRDefault="003F1FBB" w:rsidP="003F1FBB">
      <w:pPr>
        <w:pStyle w:val="af5"/>
        <w:numPr>
          <w:ilvl w:val="0"/>
          <w:numId w:val="20"/>
        </w:numPr>
        <w:spacing w:before="120"/>
        <w:ind w:left="690" w:hanging="240"/>
        <w:rPr>
          <w:rFonts w:ascii="宋体" w:eastAsia="宋体" w:hAnsi="Times New Roman"/>
          <w:color w:val="000000"/>
        </w:rPr>
      </w:pPr>
      <w:r w:rsidRPr="003F1FBB">
        <w:rPr>
          <w:rFonts w:ascii="宋体" w:eastAsia="宋体" w:hAnsi="Times New Roman" w:hint="eastAsia"/>
          <w:color w:val="000000"/>
        </w:rPr>
        <w:t>中文</w:t>
      </w:r>
    </w:p>
    <w:p w14:paraId="44F1C937" w14:textId="77777777" w:rsidR="003F1FBB" w:rsidRDefault="003F1FBB" w:rsidP="003F1FBB">
      <w:pPr>
        <w:pStyle w:val="af5"/>
        <w:numPr>
          <w:ilvl w:val="0"/>
          <w:numId w:val="21"/>
        </w:numPr>
        <w:spacing w:before="120"/>
        <w:ind w:left="690" w:hanging="240"/>
        <w:rPr>
          <w:rFonts w:ascii="宋体" w:eastAsia="宋体" w:hAnsi="Times New Roman"/>
          <w:color w:val="000000"/>
        </w:rPr>
      </w:pPr>
      <w:r w:rsidRPr="003F1FBB">
        <w:rPr>
          <w:rFonts w:ascii="宋体" w:eastAsia="宋体" w:hAnsi="Times New Roman" w:hint="eastAsia"/>
          <w:color w:val="000000"/>
        </w:rPr>
        <w:t>英文</w:t>
      </w:r>
    </w:p>
    <w:p w14:paraId="29B51731"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职业背景</w:t>
      </w:r>
    </w:p>
    <w:p w14:paraId="6542AE6C" w14:textId="77777777" w:rsidR="003F1FBB" w:rsidRDefault="003F1FBB" w:rsidP="003F1FBB">
      <w:pPr>
        <w:pStyle w:val="af5"/>
        <w:numPr>
          <w:ilvl w:val="0"/>
          <w:numId w:val="22"/>
        </w:numPr>
        <w:spacing w:before="120"/>
        <w:ind w:left="690" w:hanging="240"/>
        <w:rPr>
          <w:rFonts w:ascii="宋体" w:eastAsia="宋体" w:hAnsi="Times New Roman"/>
          <w:color w:val="000000"/>
        </w:rPr>
      </w:pPr>
      <w:r w:rsidRPr="003F1FBB">
        <w:rPr>
          <w:rFonts w:ascii="宋体" w:eastAsia="宋体" w:hAnsi="Times New Roman" w:hint="eastAsia"/>
          <w:color w:val="000000"/>
        </w:rPr>
        <w:t>武丹蕾自</w:t>
      </w:r>
      <w:r w:rsidRPr="003F1FBB">
        <w:rPr>
          <w:rFonts w:ascii="宋体" w:eastAsia="宋体" w:hAnsi="Times New Roman"/>
          <w:color w:val="000000"/>
        </w:rPr>
        <w:t>2017年加入方达律师事务所工作至今。</w:t>
      </w:r>
    </w:p>
    <w:p w14:paraId="1DE56694"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其他信息</w:t>
      </w:r>
    </w:p>
    <w:p w14:paraId="69118D6B" w14:textId="77777777" w:rsidR="003F1FBB" w:rsidRDefault="003F1FBB" w:rsidP="003F1FBB">
      <w:pPr>
        <w:pStyle w:val="af5"/>
        <w:spacing w:after="0" w:line="480" w:lineRule="auto"/>
        <w:rPr>
          <w:rFonts w:ascii="宋体" w:eastAsia="宋体" w:hAnsi="宋体"/>
          <w:b/>
          <w:sz w:val="24"/>
        </w:rPr>
      </w:pPr>
      <w:r w:rsidRPr="003F1FBB">
        <w:rPr>
          <w:rFonts w:ascii="宋体" w:eastAsia="宋体" w:hAnsi="宋体" w:hint="eastAsia"/>
          <w:b/>
          <w:sz w:val="24"/>
        </w:rPr>
        <w:t>出版物</w:t>
      </w:r>
    </w:p>
    <w:p w14:paraId="5149873B" w14:textId="77777777" w:rsidR="003F1FBB" w:rsidRDefault="003F1FBB" w:rsidP="003F1FBB">
      <w:pPr>
        <w:pStyle w:val="af5"/>
        <w:numPr>
          <w:ilvl w:val="0"/>
          <w:numId w:val="23"/>
        </w:numPr>
        <w:spacing w:before="120"/>
        <w:ind w:left="690" w:hanging="240"/>
        <w:rPr>
          <w:rFonts w:ascii="宋体" w:eastAsia="宋体" w:hAnsi="Times New Roman"/>
          <w:color w:val="000000"/>
        </w:rPr>
      </w:pPr>
      <w:r w:rsidRPr="003F1FBB">
        <w:rPr>
          <w:rFonts w:ascii="宋体" w:eastAsia="宋体" w:hAnsi="Times New Roman"/>
          <w:color w:val="000000"/>
        </w:rPr>
        <w:t xml:space="preserve">《最高院知识产权法庭管辖变化影响》，China Law &amp; Practice，2023年 11月 </w:t>
      </w:r>
    </w:p>
    <w:p w14:paraId="376B6D02" w14:textId="77777777" w:rsidR="003F1FBB" w:rsidRDefault="003F1FBB" w:rsidP="003F1FBB">
      <w:pPr>
        <w:pStyle w:val="af5"/>
        <w:numPr>
          <w:ilvl w:val="0"/>
          <w:numId w:val="24"/>
        </w:numPr>
        <w:spacing w:before="120"/>
        <w:ind w:left="690" w:hanging="240"/>
        <w:rPr>
          <w:rFonts w:ascii="宋体" w:eastAsia="宋体" w:hAnsi="Times New Roman"/>
          <w:color w:val="000000"/>
        </w:rPr>
      </w:pPr>
      <w:r w:rsidRPr="003F1FBB">
        <w:rPr>
          <w:rFonts w:ascii="宋体" w:eastAsia="宋体" w:hAnsi="Times New Roman"/>
          <w:color w:val="000000"/>
        </w:rPr>
        <w:t xml:space="preserve">《最高院反垄断及反不正当竞争典型案例》，China Law &amp; Practice，2023年 11月 </w:t>
      </w:r>
    </w:p>
    <w:p w14:paraId="317F52AE" w14:textId="77777777" w:rsidR="003F1FBB" w:rsidRDefault="003F1FBB" w:rsidP="003F1FBB">
      <w:pPr>
        <w:pStyle w:val="af5"/>
        <w:numPr>
          <w:ilvl w:val="0"/>
          <w:numId w:val="25"/>
        </w:numPr>
        <w:spacing w:before="120"/>
        <w:ind w:left="690" w:hanging="240"/>
        <w:rPr>
          <w:rFonts w:ascii="宋体" w:eastAsia="宋体" w:hAnsi="Times New Roman"/>
          <w:color w:val="000000"/>
        </w:rPr>
      </w:pPr>
      <w:r w:rsidRPr="003F1FBB">
        <w:rPr>
          <w:rFonts w:ascii="宋体" w:eastAsia="宋体" w:hAnsi="Times New Roman"/>
          <w:color w:val="000000"/>
        </w:rPr>
        <w:t xml:space="preserve">《AI生成内容的著作权保护》，China Law &amp; Practice，2023年4月 </w:t>
      </w:r>
    </w:p>
    <w:p w14:paraId="3D32DCEB" w14:textId="77777777" w:rsidR="003F1FBB" w:rsidRDefault="003F1FBB" w:rsidP="003F1FBB">
      <w:pPr>
        <w:pStyle w:val="af5"/>
        <w:numPr>
          <w:ilvl w:val="0"/>
          <w:numId w:val="26"/>
        </w:numPr>
        <w:spacing w:before="120"/>
        <w:ind w:left="690" w:hanging="240"/>
        <w:rPr>
          <w:rFonts w:ascii="宋体" w:eastAsia="宋体" w:hAnsi="Times New Roman"/>
          <w:color w:val="000000"/>
        </w:rPr>
      </w:pPr>
      <w:r w:rsidRPr="003F1FBB">
        <w:rPr>
          <w:rFonts w:ascii="宋体" w:eastAsia="宋体" w:hAnsi="Times New Roman"/>
          <w:color w:val="000000"/>
        </w:rPr>
        <w:t xml:space="preserve">《最高院首例专利链接司法判决》，China Law &amp; Practice，2022年9月 </w:t>
      </w:r>
    </w:p>
    <w:p w14:paraId="20BE0926" w14:textId="77777777" w:rsidR="003F1FBB" w:rsidRDefault="003F1FBB" w:rsidP="003F1FBB">
      <w:pPr>
        <w:pStyle w:val="af5"/>
        <w:numPr>
          <w:ilvl w:val="0"/>
          <w:numId w:val="27"/>
        </w:numPr>
        <w:spacing w:before="120"/>
        <w:ind w:left="690" w:hanging="240"/>
        <w:rPr>
          <w:rFonts w:ascii="宋体" w:eastAsia="宋体" w:hAnsi="Times New Roman"/>
          <w:color w:val="000000"/>
        </w:rPr>
      </w:pPr>
      <w:r w:rsidRPr="003F1FBB">
        <w:rPr>
          <w:rFonts w:ascii="宋体" w:eastAsia="宋体" w:hAnsi="Times New Roman"/>
          <w:color w:val="000000"/>
        </w:rPr>
        <w:t xml:space="preserve">《中国首例专利链接司法判决》，China Law &amp; Practice，2022年6月 </w:t>
      </w:r>
    </w:p>
    <w:p w14:paraId="2357B5AC" w14:textId="77777777" w:rsidR="003F1FBB" w:rsidRDefault="003F1FBB" w:rsidP="003F1FBB">
      <w:pPr>
        <w:pStyle w:val="af5"/>
        <w:numPr>
          <w:ilvl w:val="0"/>
          <w:numId w:val="28"/>
        </w:numPr>
        <w:spacing w:before="120"/>
        <w:ind w:left="690" w:hanging="240"/>
        <w:rPr>
          <w:rFonts w:ascii="宋体" w:eastAsia="宋体" w:hAnsi="Times New Roman"/>
          <w:color w:val="000000"/>
        </w:rPr>
      </w:pPr>
      <w:r w:rsidRPr="003F1FBB">
        <w:rPr>
          <w:rFonts w:ascii="宋体" w:eastAsia="宋体" w:hAnsi="Times New Roman"/>
          <w:color w:val="000000"/>
        </w:rPr>
        <w:t xml:space="preserve">《最高院2021年知识产权年度报告的总结》，China Law &amp; Practice，2022年6月 </w:t>
      </w:r>
    </w:p>
    <w:p w14:paraId="07A15149" w14:textId="77777777" w:rsidR="003F1FBB" w:rsidRDefault="003F1FBB" w:rsidP="003F1FBB">
      <w:pPr>
        <w:pStyle w:val="af5"/>
        <w:numPr>
          <w:ilvl w:val="0"/>
          <w:numId w:val="29"/>
        </w:numPr>
        <w:spacing w:before="120"/>
        <w:ind w:left="690" w:hanging="240"/>
        <w:rPr>
          <w:rFonts w:ascii="宋体" w:eastAsia="宋体" w:hAnsi="Times New Roman"/>
          <w:color w:val="000000"/>
        </w:rPr>
      </w:pPr>
      <w:r w:rsidRPr="003F1FBB">
        <w:rPr>
          <w:rFonts w:ascii="宋体" w:eastAsia="宋体" w:hAnsi="Times New Roman"/>
          <w:color w:val="000000"/>
        </w:rPr>
        <w:t xml:space="preserve">《商业秘密信息的保护》，China Law &amp; Practice，2021 年 9 月 </w:t>
      </w:r>
    </w:p>
    <w:p w14:paraId="2141D955" w14:textId="77777777" w:rsidR="003F1FBB" w:rsidRDefault="003F1FBB" w:rsidP="003F1FBB">
      <w:pPr>
        <w:pStyle w:val="af5"/>
        <w:numPr>
          <w:ilvl w:val="0"/>
          <w:numId w:val="30"/>
        </w:numPr>
        <w:spacing w:before="120"/>
        <w:ind w:left="690" w:hanging="240"/>
        <w:rPr>
          <w:rFonts w:ascii="宋体" w:eastAsia="宋体" w:hAnsi="Times New Roman"/>
          <w:color w:val="000000"/>
        </w:rPr>
      </w:pPr>
      <w:r w:rsidRPr="003F1FBB">
        <w:rPr>
          <w:rFonts w:ascii="宋体" w:eastAsia="宋体" w:hAnsi="Times New Roman"/>
          <w:color w:val="000000"/>
        </w:rPr>
        <w:t xml:space="preserve">《人民检察院在知识产权案件中扮演的角色》，China Law &amp; Practice，2021年4月 </w:t>
      </w:r>
    </w:p>
    <w:p w14:paraId="31F8AED7" w14:textId="77777777" w:rsidR="003F1FBB" w:rsidRDefault="003F1FBB" w:rsidP="003F1FBB">
      <w:pPr>
        <w:pStyle w:val="af5"/>
        <w:numPr>
          <w:ilvl w:val="0"/>
          <w:numId w:val="31"/>
        </w:numPr>
        <w:spacing w:before="120"/>
        <w:ind w:left="690" w:hanging="240"/>
        <w:rPr>
          <w:rFonts w:ascii="宋体" w:eastAsia="宋体" w:hAnsi="Times New Roman"/>
          <w:color w:val="000000"/>
        </w:rPr>
      </w:pPr>
      <w:r w:rsidRPr="003F1FBB">
        <w:rPr>
          <w:rFonts w:ascii="宋体" w:eastAsia="宋体" w:hAnsi="Times New Roman"/>
          <w:color w:val="000000"/>
        </w:rPr>
        <w:t xml:space="preserve">《专利法的第四次修改》，China Law &amp; Practice，2020年11月 </w:t>
      </w:r>
    </w:p>
    <w:p w14:paraId="2DCEFE8F" w14:textId="77777777" w:rsidR="003F1FBB" w:rsidRDefault="003F1FBB" w:rsidP="003F1FBB">
      <w:pPr>
        <w:pStyle w:val="af5"/>
        <w:numPr>
          <w:ilvl w:val="0"/>
          <w:numId w:val="32"/>
        </w:numPr>
        <w:spacing w:before="120"/>
        <w:ind w:left="690" w:hanging="240"/>
        <w:rPr>
          <w:rFonts w:ascii="宋体" w:eastAsia="宋体" w:hAnsi="Times New Roman"/>
          <w:color w:val="000000"/>
        </w:rPr>
      </w:pPr>
      <w:r w:rsidRPr="003F1FBB">
        <w:rPr>
          <w:rFonts w:ascii="宋体" w:eastAsia="宋体" w:hAnsi="Times New Roman"/>
          <w:color w:val="000000"/>
        </w:rPr>
        <w:t xml:space="preserve">《中国企业美国知识产权诉讼应诉蓝皮书》，Wolters Kluwer，2020年6月 </w:t>
      </w:r>
    </w:p>
    <w:p w14:paraId="49FCB4FA" w14:textId="77777777" w:rsidR="003F1FBB" w:rsidRDefault="003F1FBB" w:rsidP="003F1FBB">
      <w:pPr>
        <w:pStyle w:val="af5"/>
        <w:numPr>
          <w:ilvl w:val="0"/>
          <w:numId w:val="33"/>
        </w:numPr>
        <w:spacing w:before="120"/>
        <w:ind w:left="690" w:hanging="240"/>
        <w:rPr>
          <w:rFonts w:ascii="宋体" w:eastAsia="宋体" w:hAnsi="Times New Roman"/>
          <w:color w:val="000000"/>
        </w:rPr>
      </w:pPr>
      <w:r w:rsidRPr="003F1FBB">
        <w:rPr>
          <w:rFonts w:ascii="宋体" w:eastAsia="宋体" w:hAnsi="Times New Roman"/>
          <w:color w:val="000000"/>
        </w:rPr>
        <w:t xml:space="preserve">《网上庭审促进中国智慧法院之运用》，China Law &amp; Practice，2020年5月 </w:t>
      </w:r>
    </w:p>
    <w:p w14:paraId="4F0A196B" w14:textId="68FC44AB" w:rsidR="00A46A04" w:rsidRPr="003F1FBB" w:rsidRDefault="003F1FBB" w:rsidP="003F1FBB">
      <w:pPr>
        <w:pStyle w:val="af5"/>
        <w:numPr>
          <w:ilvl w:val="0"/>
          <w:numId w:val="34"/>
        </w:numPr>
        <w:spacing w:before="120"/>
        <w:ind w:left="690" w:hanging="240"/>
        <w:rPr>
          <w:rFonts w:ascii="宋体" w:eastAsia="宋体" w:hAnsi="Times New Roman"/>
          <w:color w:val="000000"/>
        </w:rPr>
      </w:pPr>
      <w:r w:rsidRPr="003F1FBB">
        <w:rPr>
          <w:rFonts w:ascii="宋体" w:eastAsia="宋体" w:hAnsi="Times New Roman"/>
          <w:color w:val="000000"/>
        </w:rPr>
        <w:t xml:space="preserve">《凉茶之战》，China Law &amp; Practice，2019 年9月 </w:t>
      </w:r>
    </w:p>
    <w:sectPr w:rsidR="00A46A04" w:rsidRPr="003F1F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14A8"/>
    <w:multiLevelType w:val="singleLevel"/>
    <w:tmpl w:val="5A1A19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27306"/>
    <w:multiLevelType w:val="singleLevel"/>
    <w:tmpl w:val="FAA2E3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6E62DA"/>
    <w:multiLevelType w:val="singleLevel"/>
    <w:tmpl w:val="920697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EB6047"/>
    <w:multiLevelType w:val="singleLevel"/>
    <w:tmpl w:val="EF5AF6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F13615"/>
    <w:multiLevelType w:val="singleLevel"/>
    <w:tmpl w:val="61C430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FB678C"/>
    <w:multiLevelType w:val="singleLevel"/>
    <w:tmpl w:val="61C430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3708C3"/>
    <w:multiLevelType w:val="singleLevel"/>
    <w:tmpl w:val="D40C78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E35C0C"/>
    <w:multiLevelType w:val="singleLevel"/>
    <w:tmpl w:val="814A5B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551F6A"/>
    <w:multiLevelType w:val="singleLevel"/>
    <w:tmpl w:val="C2ACB8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CA10BB"/>
    <w:multiLevelType w:val="singleLevel"/>
    <w:tmpl w:val="E0EA11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6A5FE0"/>
    <w:multiLevelType w:val="singleLevel"/>
    <w:tmpl w:val="8C9EED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8308E0"/>
    <w:multiLevelType w:val="singleLevel"/>
    <w:tmpl w:val="7E1C7F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EE66168"/>
    <w:multiLevelType w:val="singleLevel"/>
    <w:tmpl w:val="63A896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E47A3C"/>
    <w:multiLevelType w:val="singleLevel"/>
    <w:tmpl w:val="FA10EB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0C6A16"/>
    <w:multiLevelType w:val="singleLevel"/>
    <w:tmpl w:val="709C9A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D854B8"/>
    <w:multiLevelType w:val="singleLevel"/>
    <w:tmpl w:val="3DC88D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BA45F5"/>
    <w:multiLevelType w:val="singleLevel"/>
    <w:tmpl w:val="A32E8F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903923"/>
    <w:multiLevelType w:val="singleLevel"/>
    <w:tmpl w:val="5B4608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BE19F6"/>
    <w:multiLevelType w:val="singleLevel"/>
    <w:tmpl w:val="0740A2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320D21"/>
    <w:multiLevelType w:val="singleLevel"/>
    <w:tmpl w:val="A8FA27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104955"/>
    <w:multiLevelType w:val="singleLevel"/>
    <w:tmpl w:val="3A2C1A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7029A3"/>
    <w:multiLevelType w:val="singleLevel"/>
    <w:tmpl w:val="A6C2D6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1F6832"/>
    <w:multiLevelType w:val="singleLevel"/>
    <w:tmpl w:val="6CB27F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9B06F6"/>
    <w:multiLevelType w:val="singleLevel"/>
    <w:tmpl w:val="015695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DC685D"/>
    <w:multiLevelType w:val="singleLevel"/>
    <w:tmpl w:val="635C35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F65BF0"/>
    <w:multiLevelType w:val="singleLevel"/>
    <w:tmpl w:val="5F42CF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811C23"/>
    <w:multiLevelType w:val="singleLevel"/>
    <w:tmpl w:val="74C4EF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876687"/>
    <w:multiLevelType w:val="singleLevel"/>
    <w:tmpl w:val="9220616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23041C"/>
    <w:multiLevelType w:val="singleLevel"/>
    <w:tmpl w:val="A1BE7F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9B1261"/>
    <w:multiLevelType w:val="singleLevel"/>
    <w:tmpl w:val="26969B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3E21A5"/>
    <w:multiLevelType w:val="singleLevel"/>
    <w:tmpl w:val="FF445C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C3F5ACB"/>
    <w:multiLevelType w:val="singleLevel"/>
    <w:tmpl w:val="1B4EDDA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33"/>
  </w:num>
  <w:num w:numId="4">
    <w:abstractNumId w:val="23"/>
  </w:num>
  <w:num w:numId="5">
    <w:abstractNumId w:val="8"/>
  </w:num>
  <w:num w:numId="6">
    <w:abstractNumId w:val="26"/>
  </w:num>
  <w:num w:numId="7">
    <w:abstractNumId w:val="7"/>
  </w:num>
  <w:num w:numId="8">
    <w:abstractNumId w:val="3"/>
  </w:num>
  <w:num w:numId="9">
    <w:abstractNumId w:val="20"/>
  </w:num>
  <w:num w:numId="10">
    <w:abstractNumId w:val="11"/>
  </w:num>
  <w:num w:numId="11">
    <w:abstractNumId w:val="2"/>
  </w:num>
  <w:num w:numId="12">
    <w:abstractNumId w:val="25"/>
  </w:num>
  <w:num w:numId="13">
    <w:abstractNumId w:val="9"/>
  </w:num>
  <w:num w:numId="14">
    <w:abstractNumId w:val="13"/>
  </w:num>
  <w:num w:numId="15">
    <w:abstractNumId w:val="19"/>
  </w:num>
  <w:num w:numId="16">
    <w:abstractNumId w:val="1"/>
  </w:num>
  <w:num w:numId="17">
    <w:abstractNumId w:val="17"/>
  </w:num>
  <w:num w:numId="18">
    <w:abstractNumId w:val="10"/>
  </w:num>
  <w:num w:numId="19">
    <w:abstractNumId w:val="15"/>
  </w:num>
  <w:num w:numId="20">
    <w:abstractNumId w:val="18"/>
  </w:num>
  <w:num w:numId="21">
    <w:abstractNumId w:val="30"/>
  </w:num>
  <w:num w:numId="22">
    <w:abstractNumId w:val="28"/>
  </w:num>
  <w:num w:numId="23">
    <w:abstractNumId w:val="0"/>
  </w:num>
  <w:num w:numId="24">
    <w:abstractNumId w:val="27"/>
  </w:num>
  <w:num w:numId="25">
    <w:abstractNumId w:val="6"/>
  </w:num>
  <w:num w:numId="26">
    <w:abstractNumId w:val="32"/>
  </w:num>
  <w:num w:numId="27">
    <w:abstractNumId w:val="16"/>
  </w:num>
  <w:num w:numId="28">
    <w:abstractNumId w:val="31"/>
  </w:num>
  <w:num w:numId="29">
    <w:abstractNumId w:val="21"/>
  </w:num>
  <w:num w:numId="30">
    <w:abstractNumId w:val="29"/>
  </w:num>
  <w:num w:numId="31">
    <w:abstractNumId w:val="24"/>
  </w:num>
  <w:num w:numId="32">
    <w:abstractNumId w:val="22"/>
  </w:num>
  <w:num w:numId="33">
    <w:abstractNumId w:val="4"/>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F1FBB"/>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1FBB"/>
    <w:pPr>
      <w:spacing w:after="120"/>
    </w:pPr>
  </w:style>
  <w:style w:type="character" w:customStyle="1" w:styleId="af6">
    <w:name w:val="正文文本 字符"/>
    <w:basedOn w:val="a0"/>
    <w:link w:val="af5"/>
    <w:uiPriority w:val="99"/>
    <w:rsid w:val="003F1F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5F633-4835-40C9-B46B-D34DA7C89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