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DB8F1BD" w:rsidR="0049405C" w:rsidRPr="00187BAA" w:rsidRDefault="002E018C" w:rsidP="002E018C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2E018C">
              <w:rPr>
                <w:rFonts w:ascii="宋体" w:eastAsia="宋体" w:hAnsi="Times New Roman" w:hint="eastAsia"/>
                <w:b/>
                <w:color w:val="000000"/>
                <w:sz w:val="48"/>
              </w:rPr>
              <w:t>曹元</w:t>
            </w:r>
            <w:bookmarkEnd w:id="0"/>
          </w:p>
          <w:p w14:paraId="706EB16B" w14:textId="2B1EA50C" w:rsidR="0049405C" w:rsidRPr="00187BAA" w:rsidRDefault="002E018C" w:rsidP="002E018C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2E018C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51AE787A" w:rsidR="0049405C" w:rsidRPr="00187BAA" w:rsidRDefault="002E018C" w:rsidP="002E018C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2E018C">
              <w:rPr>
                <w:rFonts w:ascii="宋体" w:eastAsia="宋体" w:hAnsi="Times New Roman"/>
                <w:color w:val="000000"/>
              </w:rPr>
              <w:t xml:space="preserve">+86 21 6263 5809 </w:t>
            </w:r>
            <w:bookmarkEnd w:id="3"/>
          </w:p>
          <w:p w14:paraId="4F910ACA" w14:textId="2D50C639" w:rsidR="0049405C" w:rsidRPr="00187BAA" w:rsidRDefault="002E018C" w:rsidP="002E018C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2E018C">
              <w:rPr>
                <w:rFonts w:ascii="宋体" w:eastAsia="宋体" w:hAnsi="Times New Roman"/>
                <w:color w:val="000000"/>
              </w:rPr>
              <w:t>yuan.cao@fangdalaw.com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8FA570C" w:rsidR="0049405C" w:rsidRPr="00187BAA" w:rsidRDefault="002E018C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6EA3B93" wp14:editId="7B333D68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0ED153C0" w:rsidR="009465FB" w:rsidRPr="00187BAA" w:rsidRDefault="002E018C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2E018C">
              <w:rPr>
                <w:rFonts w:ascii="宋体" w:eastAsia="宋体" w:hAnsi="Times New Roman" w:hint="eastAsia"/>
                <w:color w:val="000000"/>
                <w:szCs w:val="21"/>
              </w:rPr>
              <w:t>曹元律师的主要执业领域为资本市场，包括并购重组、证券发行、股权投资、一般公司业务等。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4BD1DE1" w14:textId="77777777" w:rsidR="002E018C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2C08526" w14:textId="77777777" w:rsidR="002E018C" w:rsidRDefault="002E018C" w:rsidP="002E018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E018C">
        <w:rPr>
          <w:rFonts w:ascii="宋体" w:eastAsia="宋体" w:hAnsi="宋体" w:hint="eastAsia"/>
          <w:b/>
          <w:sz w:val="24"/>
        </w:rPr>
        <w:t>近期代理的主要案件</w:t>
      </w:r>
    </w:p>
    <w:p w14:paraId="11841CAE" w14:textId="77777777" w:rsidR="002E018C" w:rsidRDefault="002E018C" w:rsidP="002E018C">
      <w:pPr>
        <w:pStyle w:val="af5"/>
        <w:spacing w:before="12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上市公司并购重组</w:t>
      </w:r>
    </w:p>
    <w:p w14:paraId="16D060CD" w14:textId="77777777" w:rsidR="002E018C" w:rsidRDefault="002E018C" w:rsidP="002E018C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代表阿里巴巴集团，为其处理苏宁易购（</w:t>
      </w:r>
      <w:r w:rsidRPr="002E018C">
        <w:rPr>
          <w:rFonts w:ascii="宋体" w:eastAsia="宋体" w:hAnsi="Times New Roman"/>
          <w:color w:val="000000"/>
        </w:rPr>
        <w:t>002024.SZ）、申通快递（002468.SZ）、美凯龙（601828.SH/01528.HK）、丽人丽妆（605136.SH）、圆通速递（600233.SH）、居然之家（000785.SZ）、千方科技（002373.SZ）、美年健康（002044.SZ）、分众传媒（002027.SZ）、爱用科技（836858）、东方股份（833374）、汇通达网络（09878.HK）等十余家上市公司及新三板挂牌公司的协议转让/大宗交易业务提供服务</w:t>
      </w:r>
    </w:p>
    <w:p w14:paraId="4CF3C2E0" w14:textId="77777777" w:rsidR="002E018C" w:rsidRDefault="002E018C" w:rsidP="002E018C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代表博裕资本，为其战略投资及后续要约收购金科服务（</w:t>
      </w:r>
      <w:r w:rsidRPr="002E018C">
        <w:rPr>
          <w:rFonts w:ascii="宋体" w:eastAsia="宋体" w:hAnsi="Times New Roman"/>
          <w:color w:val="000000"/>
        </w:rPr>
        <w:t>09666.HK，已完成H股全流通）提供服务</w:t>
      </w:r>
    </w:p>
    <w:p w14:paraId="671591B8" w14:textId="77777777" w:rsidR="002E018C" w:rsidRDefault="002E018C" w:rsidP="002E018C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代表上实控股（</w:t>
      </w:r>
      <w:r w:rsidRPr="002E018C">
        <w:rPr>
          <w:rFonts w:ascii="宋体" w:eastAsia="宋体" w:hAnsi="Times New Roman"/>
          <w:color w:val="000000"/>
        </w:rPr>
        <w:t>00363.HK），为其通过可交换债券形式增持粤丰环保（01381.HK）提供服务</w:t>
      </w:r>
    </w:p>
    <w:p w14:paraId="72F01576" w14:textId="77777777" w:rsidR="002E018C" w:rsidRDefault="002E018C" w:rsidP="002E018C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代表飞利浦，为其作为外国投资者战略投资创业慧康（</w:t>
      </w:r>
      <w:r w:rsidRPr="002E018C">
        <w:rPr>
          <w:rFonts w:ascii="宋体" w:eastAsia="宋体" w:hAnsi="Times New Roman"/>
          <w:color w:val="000000"/>
        </w:rPr>
        <w:t>300451.SZ）提供服务</w:t>
      </w:r>
    </w:p>
    <w:p w14:paraId="06BF91F1" w14:textId="77777777" w:rsidR="002E018C" w:rsidRDefault="002E018C" w:rsidP="002E018C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代表上海砥安，为其收购建元信托（</w:t>
      </w:r>
      <w:r w:rsidRPr="002E018C">
        <w:rPr>
          <w:rFonts w:ascii="宋体" w:eastAsia="宋体" w:hAnsi="Times New Roman"/>
          <w:color w:val="000000"/>
        </w:rPr>
        <w:t>600816.SH）提供服务</w:t>
      </w:r>
    </w:p>
    <w:p w14:paraId="2327EBC0" w14:textId="77777777" w:rsidR="002E018C" w:rsidRDefault="002E018C" w:rsidP="002E018C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代表德弘资本，为其认购东方雨虹（</w:t>
      </w:r>
      <w:r w:rsidRPr="002E018C">
        <w:rPr>
          <w:rFonts w:ascii="宋体" w:eastAsia="宋体" w:hAnsi="Times New Roman"/>
          <w:color w:val="000000"/>
        </w:rPr>
        <w:t>002271.SZ）定增提供服务</w:t>
      </w:r>
    </w:p>
    <w:p w14:paraId="3B65E316" w14:textId="77777777" w:rsidR="002E018C" w:rsidRDefault="002E018C" w:rsidP="002E018C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代表东方资产，为其投资多家</w:t>
      </w:r>
      <w:r w:rsidRPr="002E018C">
        <w:rPr>
          <w:rFonts w:ascii="宋体" w:eastAsia="宋体" w:hAnsi="Times New Roman"/>
          <w:color w:val="000000"/>
        </w:rPr>
        <w:t>A股上市公司提供服务</w:t>
      </w:r>
    </w:p>
    <w:p w14:paraId="3CE56C7B" w14:textId="77777777" w:rsidR="002E018C" w:rsidRDefault="002E018C" w:rsidP="002E018C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代表金光纸业（中国）投资有限公司，为其间接收购博汇纸业（</w:t>
      </w:r>
      <w:r w:rsidRPr="002E018C">
        <w:rPr>
          <w:rFonts w:ascii="宋体" w:eastAsia="宋体" w:hAnsi="Times New Roman"/>
          <w:color w:val="000000"/>
        </w:rPr>
        <w:t>600966.SH）提供服务</w:t>
      </w:r>
    </w:p>
    <w:p w14:paraId="1C26C218" w14:textId="77777777" w:rsidR="002E018C" w:rsidRDefault="002E018C" w:rsidP="002E018C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代表康达新材（</w:t>
      </w:r>
      <w:r w:rsidRPr="002E018C">
        <w:rPr>
          <w:rFonts w:ascii="宋体" w:eastAsia="宋体" w:hAnsi="Times New Roman"/>
          <w:color w:val="000000"/>
        </w:rPr>
        <w:t>002669.SZ），为其通过发行股份方式收购成都必控科技有限责任公司提供服务</w:t>
      </w:r>
    </w:p>
    <w:p w14:paraId="4146AC95" w14:textId="77777777" w:rsidR="002E018C" w:rsidRDefault="002E018C" w:rsidP="002E018C">
      <w:pPr>
        <w:pStyle w:val="af5"/>
        <w:spacing w:before="12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境内外上市</w:t>
      </w:r>
    </w:p>
    <w:p w14:paraId="52015F5A" w14:textId="77777777" w:rsidR="002E018C" w:rsidRDefault="002E018C" w:rsidP="002E018C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代表上海超硅，为其</w:t>
      </w:r>
      <w:r w:rsidRPr="002E018C">
        <w:rPr>
          <w:rFonts w:ascii="宋体" w:eastAsia="宋体" w:hAnsi="Times New Roman"/>
          <w:color w:val="000000"/>
        </w:rPr>
        <w:t>A股IPO项目提供服务（进行中）</w:t>
      </w:r>
    </w:p>
    <w:p w14:paraId="179B4991" w14:textId="77777777" w:rsidR="002E018C" w:rsidRDefault="002E018C" w:rsidP="002E018C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代表天合光能（</w:t>
      </w:r>
      <w:r w:rsidRPr="002E018C">
        <w:rPr>
          <w:rFonts w:ascii="宋体" w:eastAsia="宋体" w:hAnsi="Times New Roman"/>
          <w:color w:val="000000"/>
        </w:rPr>
        <w:t>688599.SH），为其A股IPO项目提供服务</w:t>
      </w:r>
    </w:p>
    <w:p w14:paraId="4ED139D8" w14:textId="77777777" w:rsidR="002E018C" w:rsidRDefault="002E018C" w:rsidP="002E018C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代表康惠制药（</w:t>
      </w:r>
      <w:r w:rsidRPr="002E018C">
        <w:rPr>
          <w:rFonts w:ascii="宋体" w:eastAsia="宋体" w:hAnsi="Times New Roman"/>
          <w:color w:val="000000"/>
        </w:rPr>
        <w:t>603139.SH），为其A股IPO项目提供服务</w:t>
      </w:r>
    </w:p>
    <w:p w14:paraId="583DCD46" w14:textId="77777777" w:rsidR="002E018C" w:rsidRDefault="002E018C" w:rsidP="002E018C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代表玲珑轮胎（</w:t>
      </w:r>
      <w:r w:rsidRPr="002E018C">
        <w:rPr>
          <w:rFonts w:ascii="宋体" w:eastAsia="宋体" w:hAnsi="Times New Roman"/>
          <w:color w:val="000000"/>
        </w:rPr>
        <w:t>601966.SH），为其A股IPO项目提供服务</w:t>
      </w:r>
    </w:p>
    <w:p w14:paraId="1191F7FF" w14:textId="77777777" w:rsidR="002E018C" w:rsidRDefault="002E018C" w:rsidP="002E018C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代表富瀚微（</w:t>
      </w:r>
      <w:r w:rsidRPr="002E018C">
        <w:rPr>
          <w:rFonts w:ascii="宋体" w:eastAsia="宋体" w:hAnsi="Times New Roman"/>
          <w:color w:val="000000"/>
        </w:rPr>
        <w:t>300613.SZ），为其A股IPO项目提供服务</w:t>
      </w:r>
    </w:p>
    <w:p w14:paraId="1A3DEDD7" w14:textId="77777777" w:rsidR="002E018C" w:rsidRDefault="002E018C" w:rsidP="002E018C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代表中金公司，为格科微有限公司（</w:t>
      </w:r>
      <w:r w:rsidRPr="002E018C">
        <w:rPr>
          <w:rFonts w:ascii="宋体" w:eastAsia="宋体" w:hAnsi="Times New Roman"/>
          <w:color w:val="000000"/>
        </w:rPr>
        <w:t>688728.SH）A股IPO项目提供服务</w:t>
      </w:r>
    </w:p>
    <w:p w14:paraId="791AFB18" w14:textId="77777777" w:rsidR="002E018C" w:rsidRDefault="002E018C" w:rsidP="002E018C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代表晋商银行（</w:t>
      </w:r>
      <w:r w:rsidRPr="002E018C">
        <w:rPr>
          <w:rFonts w:ascii="宋体" w:eastAsia="宋体" w:hAnsi="Times New Roman"/>
          <w:color w:val="000000"/>
        </w:rPr>
        <w:t>02558.HK），为其H股IPO项目提供服务</w:t>
      </w:r>
    </w:p>
    <w:p w14:paraId="12D42925" w14:textId="77777777" w:rsidR="002E018C" w:rsidRDefault="002E018C" w:rsidP="002E018C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代表学美教育（</w:t>
      </w:r>
      <w:r w:rsidRPr="002E018C">
        <w:rPr>
          <w:rFonts w:ascii="宋体" w:eastAsia="宋体" w:hAnsi="Times New Roman"/>
          <w:color w:val="000000"/>
        </w:rPr>
        <w:t>839268），为其新三板挂牌及摘牌项目提供服务</w:t>
      </w:r>
    </w:p>
    <w:p w14:paraId="31AEC21A" w14:textId="77777777" w:rsidR="002E018C" w:rsidRDefault="002E018C" w:rsidP="002E018C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代表中交通力（</w:t>
      </w:r>
      <w:r w:rsidRPr="002E018C">
        <w:rPr>
          <w:rFonts w:ascii="宋体" w:eastAsia="宋体" w:hAnsi="Times New Roman"/>
          <w:color w:val="000000"/>
        </w:rPr>
        <w:t>870958），为其新三板挂牌项目提供服务</w:t>
      </w:r>
    </w:p>
    <w:p w14:paraId="41B11431" w14:textId="77777777" w:rsidR="002E018C" w:rsidRDefault="002E018C" w:rsidP="002E018C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代表基胜能源（</w:t>
      </w:r>
      <w:r w:rsidRPr="002E018C">
        <w:rPr>
          <w:rFonts w:ascii="宋体" w:eastAsia="宋体" w:hAnsi="Times New Roman"/>
          <w:color w:val="000000"/>
        </w:rPr>
        <w:t>871504），为其新三板挂牌项目提供服务</w:t>
      </w:r>
    </w:p>
    <w:p w14:paraId="3DC32D41" w14:textId="77777777" w:rsidR="002E018C" w:rsidRDefault="002E018C" w:rsidP="002E018C">
      <w:pPr>
        <w:pStyle w:val="af5"/>
        <w:spacing w:before="12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私募股权投资及一般公司业务</w:t>
      </w:r>
    </w:p>
    <w:p w14:paraId="7B4E211E" w14:textId="77777777" w:rsidR="002E018C" w:rsidRDefault="002E018C" w:rsidP="002E018C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代表博裕资本、德弘资本、凯辉资本、济峰投资等投资机构，为其私募股权投资项目提供服务</w:t>
      </w:r>
    </w:p>
    <w:p w14:paraId="2A1D9CE5" w14:textId="77777777" w:rsidR="002E018C" w:rsidRDefault="002E018C" w:rsidP="002E018C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代表上海超硅、浦易生物、晋商银行、依图科技、修正药业，为其增资扩股提供服务</w:t>
      </w:r>
    </w:p>
    <w:p w14:paraId="05F0FF49" w14:textId="77777777" w:rsidR="002E018C" w:rsidRDefault="002E018C" w:rsidP="002E018C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代表阿里巴巴（中国）网络技术有限公司，为其分立事项提供服务</w:t>
      </w:r>
    </w:p>
    <w:p w14:paraId="48918B09" w14:textId="77777777" w:rsidR="002E018C" w:rsidRDefault="002E018C" w:rsidP="002E018C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代表山西银行，为其合并山西省五家城商行提供服务</w:t>
      </w:r>
    </w:p>
    <w:p w14:paraId="29A74C7E" w14:textId="77777777" w:rsidR="002E018C" w:rsidRDefault="002E018C" w:rsidP="002E018C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为阿里巴巴集团、蚂蚁集团、博裕资本等提供投后法律服务</w:t>
      </w:r>
    </w:p>
    <w:p w14:paraId="4C2A69B9" w14:textId="77777777" w:rsidR="002E018C" w:rsidRDefault="002E018C" w:rsidP="002E018C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为蚂蚁集团、佳通轮胎、上海超硅、锦江在线、中信证券、晋商银行、天合光能、康惠制药、海利生物、兴业银行、锦富技术、学美教育、中交通力、基胜能源等十余家公司提供过常年法律顾问服务</w:t>
      </w:r>
    </w:p>
    <w:p w14:paraId="50FAA106" w14:textId="77777777" w:rsidR="002E018C" w:rsidRDefault="002E018C" w:rsidP="002E018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E018C">
        <w:rPr>
          <w:rFonts w:ascii="宋体" w:eastAsia="宋体" w:hAnsi="宋体" w:hint="eastAsia"/>
          <w:b/>
          <w:sz w:val="24"/>
        </w:rPr>
        <w:t>教育背景</w:t>
      </w:r>
    </w:p>
    <w:p w14:paraId="37741DCC" w14:textId="77777777" w:rsidR="002E018C" w:rsidRDefault="002E018C" w:rsidP="002E018C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复旦大学，法律硕士</w:t>
      </w:r>
    </w:p>
    <w:p w14:paraId="7C640562" w14:textId="77777777" w:rsidR="002E018C" w:rsidRDefault="002E018C" w:rsidP="002E018C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上海交通大学，英文文学学士、法学第二学士</w:t>
      </w:r>
    </w:p>
    <w:p w14:paraId="03268EE6" w14:textId="77777777" w:rsidR="002E018C" w:rsidRDefault="002E018C" w:rsidP="002E018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E018C">
        <w:rPr>
          <w:rFonts w:ascii="宋体" w:eastAsia="宋体" w:hAnsi="宋体" w:hint="eastAsia"/>
          <w:b/>
          <w:sz w:val="24"/>
        </w:rPr>
        <w:t>执业资格</w:t>
      </w:r>
    </w:p>
    <w:p w14:paraId="2A4CDA60" w14:textId="77777777" w:rsidR="002E018C" w:rsidRDefault="002E018C" w:rsidP="002E018C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中华人民共和国执业律师</w:t>
      </w:r>
    </w:p>
    <w:p w14:paraId="263D614F" w14:textId="77777777" w:rsidR="002E018C" w:rsidRDefault="002E018C" w:rsidP="002E018C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E018C">
        <w:rPr>
          <w:rFonts w:ascii="宋体" w:eastAsia="宋体" w:hAnsi="宋体" w:hint="eastAsia"/>
          <w:b/>
          <w:sz w:val="24"/>
        </w:rPr>
        <w:t>职业背景</w:t>
      </w:r>
    </w:p>
    <w:p w14:paraId="4F0A196B" w14:textId="4EBD8A35" w:rsidR="00A46A04" w:rsidRPr="002E018C" w:rsidRDefault="002E018C" w:rsidP="002E018C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E018C">
        <w:rPr>
          <w:rFonts w:ascii="宋体" w:eastAsia="宋体" w:hAnsi="Times New Roman" w:hint="eastAsia"/>
          <w:color w:val="000000"/>
        </w:rPr>
        <w:t>曹元律师于</w:t>
      </w:r>
      <w:r w:rsidRPr="002E018C">
        <w:rPr>
          <w:rFonts w:ascii="宋体" w:eastAsia="宋体" w:hAnsi="Times New Roman"/>
          <w:color w:val="000000"/>
        </w:rPr>
        <w:t>2020年加入方达律师事务所。在此之前，他在金杜律师事务所工作。</w:t>
      </w:r>
    </w:p>
    <w:sectPr w:rsidR="00A46A04" w:rsidRPr="002E018C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95F89"/>
    <w:multiLevelType w:val="singleLevel"/>
    <w:tmpl w:val="A64E6B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F420595"/>
    <w:multiLevelType w:val="singleLevel"/>
    <w:tmpl w:val="F9FCC0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54D714B"/>
    <w:multiLevelType w:val="singleLevel"/>
    <w:tmpl w:val="9B7087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A8353D4"/>
    <w:multiLevelType w:val="singleLevel"/>
    <w:tmpl w:val="6E74C7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B7E75FD"/>
    <w:multiLevelType w:val="singleLevel"/>
    <w:tmpl w:val="BA96AD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D557807"/>
    <w:multiLevelType w:val="singleLevel"/>
    <w:tmpl w:val="4920BFF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4B740A3"/>
    <w:multiLevelType w:val="singleLevel"/>
    <w:tmpl w:val="B85E61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55F61FA"/>
    <w:multiLevelType w:val="singleLevel"/>
    <w:tmpl w:val="A46EAD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7245C1E"/>
    <w:multiLevelType w:val="singleLevel"/>
    <w:tmpl w:val="772425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BA87FD2"/>
    <w:multiLevelType w:val="singleLevel"/>
    <w:tmpl w:val="DFF68F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BC014A7"/>
    <w:multiLevelType w:val="singleLevel"/>
    <w:tmpl w:val="DA44E7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331986"/>
    <w:multiLevelType w:val="singleLevel"/>
    <w:tmpl w:val="8CCE27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40551F8"/>
    <w:multiLevelType w:val="singleLevel"/>
    <w:tmpl w:val="24EE13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5DE3F86"/>
    <w:multiLevelType w:val="singleLevel"/>
    <w:tmpl w:val="DAACAB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423F27F0"/>
    <w:multiLevelType w:val="singleLevel"/>
    <w:tmpl w:val="355A25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7ED19F8"/>
    <w:multiLevelType w:val="singleLevel"/>
    <w:tmpl w:val="B6207B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9D70333"/>
    <w:multiLevelType w:val="singleLevel"/>
    <w:tmpl w:val="94D423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D074003"/>
    <w:multiLevelType w:val="singleLevel"/>
    <w:tmpl w:val="5FF49C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DAE638D"/>
    <w:multiLevelType w:val="singleLevel"/>
    <w:tmpl w:val="43E646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F5D6684"/>
    <w:multiLevelType w:val="singleLevel"/>
    <w:tmpl w:val="A246DE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2B10BC3"/>
    <w:multiLevelType w:val="singleLevel"/>
    <w:tmpl w:val="9FF065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3C43CFE"/>
    <w:multiLevelType w:val="singleLevel"/>
    <w:tmpl w:val="E9B2DC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47A63FD"/>
    <w:multiLevelType w:val="singleLevel"/>
    <w:tmpl w:val="6EB8F2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9EC5144"/>
    <w:multiLevelType w:val="singleLevel"/>
    <w:tmpl w:val="AAA87A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C2463D0"/>
    <w:multiLevelType w:val="singleLevel"/>
    <w:tmpl w:val="EBF847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3D51101"/>
    <w:multiLevelType w:val="singleLevel"/>
    <w:tmpl w:val="843C5E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83976C1"/>
    <w:multiLevelType w:val="singleLevel"/>
    <w:tmpl w:val="8F66D1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83D7B79"/>
    <w:multiLevelType w:val="singleLevel"/>
    <w:tmpl w:val="B0D67F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8D013DF"/>
    <w:multiLevelType w:val="singleLevel"/>
    <w:tmpl w:val="B0D67F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D340C57"/>
    <w:multiLevelType w:val="singleLevel"/>
    <w:tmpl w:val="F336ED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5"/>
  </w:num>
  <w:num w:numId="3">
    <w:abstractNumId w:val="20"/>
  </w:num>
  <w:num w:numId="4">
    <w:abstractNumId w:val="6"/>
  </w:num>
  <w:num w:numId="5">
    <w:abstractNumId w:val="1"/>
  </w:num>
  <w:num w:numId="6">
    <w:abstractNumId w:val="2"/>
  </w:num>
  <w:num w:numId="7">
    <w:abstractNumId w:val="25"/>
  </w:num>
  <w:num w:numId="8">
    <w:abstractNumId w:val="22"/>
  </w:num>
  <w:num w:numId="9">
    <w:abstractNumId w:val="31"/>
  </w:num>
  <w:num w:numId="10">
    <w:abstractNumId w:val="10"/>
  </w:num>
  <w:num w:numId="11">
    <w:abstractNumId w:val="21"/>
  </w:num>
  <w:num w:numId="12">
    <w:abstractNumId w:val="3"/>
  </w:num>
  <w:num w:numId="13">
    <w:abstractNumId w:val="16"/>
  </w:num>
  <w:num w:numId="14">
    <w:abstractNumId w:val="17"/>
  </w:num>
  <w:num w:numId="15">
    <w:abstractNumId w:val="8"/>
  </w:num>
  <w:num w:numId="16">
    <w:abstractNumId w:val="14"/>
  </w:num>
  <w:num w:numId="17">
    <w:abstractNumId w:val="9"/>
  </w:num>
  <w:num w:numId="18">
    <w:abstractNumId w:val="27"/>
  </w:num>
  <w:num w:numId="19">
    <w:abstractNumId w:val="11"/>
  </w:num>
  <w:num w:numId="20">
    <w:abstractNumId w:val="23"/>
  </w:num>
  <w:num w:numId="21">
    <w:abstractNumId w:val="7"/>
  </w:num>
  <w:num w:numId="22">
    <w:abstractNumId w:val="26"/>
  </w:num>
  <w:num w:numId="23">
    <w:abstractNumId w:val="5"/>
  </w:num>
  <w:num w:numId="24">
    <w:abstractNumId w:val="28"/>
  </w:num>
  <w:num w:numId="25">
    <w:abstractNumId w:val="18"/>
  </w:num>
  <w:num w:numId="26">
    <w:abstractNumId w:val="19"/>
  </w:num>
  <w:num w:numId="27">
    <w:abstractNumId w:val="13"/>
  </w:num>
  <w:num w:numId="28">
    <w:abstractNumId w:val="24"/>
  </w:num>
  <w:num w:numId="29">
    <w:abstractNumId w:val="0"/>
  </w:num>
  <w:num w:numId="30">
    <w:abstractNumId w:val="4"/>
  </w:num>
  <w:num w:numId="31">
    <w:abstractNumId w:val="29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2E018C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E018C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E018C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85F7CC4-ABE6-4626-8491-8D63A5672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2026-07-06T21:26:00Z</dcterms:created>
  <dcterms:modified xsi:type="dcterms:W3CDTF">2026-07-06T21:26:00Z</dcterms:modified>
</cp:coreProperties>
</file>