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D4B1B0C" w:rsidR="0049405C" w:rsidRPr="00187BAA" w:rsidRDefault="00772366" w:rsidP="00772366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772366">
              <w:rPr>
                <w:rFonts w:ascii="宋体" w:eastAsia="宋体" w:hAnsi="Times New Roman" w:hint="eastAsia"/>
                <w:b/>
                <w:color w:val="000000"/>
                <w:sz w:val="48"/>
              </w:rPr>
              <w:t>曹元</w:t>
            </w:r>
            <w:bookmarkEnd w:id="0"/>
          </w:p>
          <w:p w14:paraId="706EB16B" w14:textId="25598310" w:rsidR="0049405C" w:rsidRPr="00187BAA" w:rsidRDefault="00772366" w:rsidP="00772366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772366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资深律师·上海</w:t>
            </w:r>
            <w:bookmarkEnd w:id="2"/>
          </w:p>
          <w:p w14:paraId="6199424A" w14:textId="7605BF45" w:rsidR="0049405C" w:rsidRPr="00187BAA" w:rsidRDefault="00772366" w:rsidP="00772366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772366">
              <w:rPr>
                <w:rFonts w:ascii="宋体" w:eastAsia="宋体" w:hAnsi="Times New Roman"/>
                <w:color w:val="000000"/>
              </w:rPr>
              <w:t xml:space="preserve">+86 21 6263 5809 </w:t>
            </w:r>
            <w:bookmarkEnd w:id="3"/>
          </w:p>
          <w:p w14:paraId="4F910ACA" w14:textId="5587BEB0" w:rsidR="0049405C" w:rsidRPr="00187BAA" w:rsidRDefault="00772366" w:rsidP="00772366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772366">
              <w:rPr>
                <w:rFonts w:ascii="宋体" w:eastAsia="宋体" w:hAnsi="Times New Roman"/>
                <w:color w:val="000000"/>
              </w:rPr>
              <w:t>yuan.cao@fangdalaw.com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D5C16B1" w:rsidR="0049405C" w:rsidRPr="00187BAA" w:rsidRDefault="00772366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0DF6749" wp14:editId="2F40C6A7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53AB5342" w:rsidR="009465FB" w:rsidRPr="00187BAA" w:rsidRDefault="00772366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772366">
              <w:rPr>
                <w:rFonts w:ascii="宋体" w:eastAsia="宋体" w:hAnsi="Times New Roman" w:hint="eastAsia"/>
                <w:color w:val="000000"/>
                <w:szCs w:val="21"/>
              </w:rPr>
              <w:t>曹元律师的主要执业领域为资本市场，包括并购重组、证券发行、股权投资、一般公司业务等。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C8E0A03" w14:textId="77777777" w:rsidR="00772366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0A5EF8A" w14:textId="77777777" w:rsidR="00772366" w:rsidRDefault="00772366" w:rsidP="0077236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72366">
        <w:rPr>
          <w:rFonts w:ascii="宋体" w:eastAsia="宋体" w:hAnsi="宋体" w:hint="eastAsia"/>
          <w:b/>
          <w:sz w:val="24"/>
        </w:rPr>
        <w:t>近期代理的主要案件</w:t>
      </w:r>
    </w:p>
    <w:p w14:paraId="6BC220D6" w14:textId="77777777" w:rsidR="00772366" w:rsidRDefault="00772366" w:rsidP="00772366">
      <w:pPr>
        <w:pStyle w:val="af5"/>
        <w:spacing w:before="120"/>
        <w:rPr>
          <w:rFonts w:ascii="宋体" w:eastAsia="宋体" w:hAnsi="Times New Roman"/>
          <w:color w:val="000000"/>
        </w:rPr>
      </w:pPr>
      <w:r w:rsidRPr="00772366">
        <w:rPr>
          <w:rFonts w:ascii="宋体" w:eastAsia="宋体" w:hAnsi="Times New Roman" w:hint="eastAsia"/>
          <w:color w:val="000000"/>
        </w:rPr>
        <w:t>上市公司并购重组</w:t>
      </w:r>
    </w:p>
    <w:p w14:paraId="71C1AA77" w14:textId="77777777" w:rsidR="00772366" w:rsidRDefault="00772366" w:rsidP="00772366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72366">
        <w:rPr>
          <w:rFonts w:ascii="宋体" w:eastAsia="宋体" w:hAnsi="Times New Roman" w:hint="eastAsia"/>
          <w:color w:val="000000"/>
        </w:rPr>
        <w:t>代表阿里巴巴集团，为其处理苏宁易购（</w:t>
      </w:r>
      <w:r w:rsidRPr="00772366">
        <w:rPr>
          <w:rFonts w:ascii="宋体" w:eastAsia="宋体" w:hAnsi="Times New Roman"/>
          <w:color w:val="000000"/>
        </w:rPr>
        <w:t>002024.SZ）、申通快递（002468.SZ）、美凯龙（601828.SH/01528.HK）、丽人丽妆（605136.SH）、圆通速递（600233.SH）、居然之家（000785.SZ）、千方科技（002373.SZ）、美年健康（002044.SZ）、分众传媒（002027.SZ）、爱用科技（836858）、东方股份（833374）、汇通达网络（09878.HK）等十余家上市公司及新三板挂牌公司的协议转让/大宗交易业务提供服务</w:t>
      </w:r>
    </w:p>
    <w:p w14:paraId="2C78CC5B" w14:textId="77777777" w:rsidR="00772366" w:rsidRDefault="00772366" w:rsidP="00772366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72366">
        <w:rPr>
          <w:rFonts w:ascii="宋体" w:eastAsia="宋体" w:hAnsi="Times New Roman" w:hint="eastAsia"/>
          <w:color w:val="000000"/>
        </w:rPr>
        <w:t>代表博裕资本，为其战略投资及后续要约收购金科服务（</w:t>
      </w:r>
      <w:r w:rsidRPr="00772366">
        <w:rPr>
          <w:rFonts w:ascii="宋体" w:eastAsia="宋体" w:hAnsi="Times New Roman"/>
          <w:color w:val="000000"/>
        </w:rPr>
        <w:t>09666.HK，已完成H股全流通）提供服务</w:t>
      </w:r>
    </w:p>
    <w:p w14:paraId="18CC2C73" w14:textId="77777777" w:rsidR="00772366" w:rsidRDefault="00772366" w:rsidP="00772366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72366">
        <w:rPr>
          <w:rFonts w:ascii="宋体" w:eastAsia="宋体" w:hAnsi="Times New Roman" w:hint="eastAsia"/>
          <w:color w:val="000000"/>
        </w:rPr>
        <w:t>代表上实控股（</w:t>
      </w:r>
      <w:r w:rsidRPr="00772366">
        <w:rPr>
          <w:rFonts w:ascii="宋体" w:eastAsia="宋体" w:hAnsi="Times New Roman"/>
          <w:color w:val="000000"/>
        </w:rPr>
        <w:t>00363.HK），为其通过可交换债券形式增持粤丰环保（01381.HK）提供服务</w:t>
      </w:r>
    </w:p>
    <w:p w14:paraId="1060DC2C" w14:textId="77777777" w:rsidR="00772366" w:rsidRDefault="00772366" w:rsidP="00772366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72366">
        <w:rPr>
          <w:rFonts w:ascii="宋体" w:eastAsia="宋体" w:hAnsi="Times New Roman" w:hint="eastAsia"/>
          <w:color w:val="000000"/>
        </w:rPr>
        <w:t>代表飞利浦，为其作为外国投资者战略投资创业慧康（</w:t>
      </w:r>
      <w:r w:rsidRPr="00772366">
        <w:rPr>
          <w:rFonts w:ascii="宋体" w:eastAsia="宋体" w:hAnsi="Times New Roman"/>
          <w:color w:val="000000"/>
        </w:rPr>
        <w:t>300451.SZ）提供服务</w:t>
      </w:r>
    </w:p>
    <w:p w14:paraId="16EC1B65" w14:textId="77777777" w:rsidR="00772366" w:rsidRDefault="00772366" w:rsidP="00772366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72366">
        <w:rPr>
          <w:rFonts w:ascii="宋体" w:eastAsia="宋体" w:hAnsi="Times New Roman" w:hint="eastAsia"/>
          <w:color w:val="000000"/>
        </w:rPr>
        <w:t>代表上海砥安，为其收购建元信托（</w:t>
      </w:r>
      <w:r w:rsidRPr="00772366">
        <w:rPr>
          <w:rFonts w:ascii="宋体" w:eastAsia="宋体" w:hAnsi="Times New Roman"/>
          <w:color w:val="000000"/>
        </w:rPr>
        <w:t>600816.SH）提供服务</w:t>
      </w:r>
    </w:p>
    <w:p w14:paraId="6C3733AA" w14:textId="77777777" w:rsidR="00772366" w:rsidRDefault="00772366" w:rsidP="00772366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72366">
        <w:rPr>
          <w:rFonts w:ascii="宋体" w:eastAsia="宋体" w:hAnsi="Times New Roman" w:hint="eastAsia"/>
          <w:color w:val="000000"/>
        </w:rPr>
        <w:t>代表德弘资本，为其认购东方雨虹（</w:t>
      </w:r>
      <w:r w:rsidRPr="00772366">
        <w:rPr>
          <w:rFonts w:ascii="宋体" w:eastAsia="宋体" w:hAnsi="Times New Roman"/>
          <w:color w:val="000000"/>
        </w:rPr>
        <w:t>002271.SZ）定增提供服务</w:t>
      </w:r>
    </w:p>
    <w:p w14:paraId="476A60AA" w14:textId="77777777" w:rsidR="00772366" w:rsidRDefault="00772366" w:rsidP="00772366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72366">
        <w:rPr>
          <w:rFonts w:ascii="宋体" w:eastAsia="宋体" w:hAnsi="Times New Roman" w:hint="eastAsia"/>
          <w:color w:val="000000"/>
        </w:rPr>
        <w:t>代表东方资产，为其投资多家</w:t>
      </w:r>
      <w:r w:rsidRPr="00772366">
        <w:rPr>
          <w:rFonts w:ascii="宋体" w:eastAsia="宋体" w:hAnsi="Times New Roman"/>
          <w:color w:val="000000"/>
        </w:rPr>
        <w:t>A股上市公司提供服务</w:t>
      </w:r>
    </w:p>
    <w:p w14:paraId="57DF94E2" w14:textId="77777777" w:rsidR="00772366" w:rsidRDefault="00772366" w:rsidP="00772366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72366">
        <w:rPr>
          <w:rFonts w:ascii="宋体" w:eastAsia="宋体" w:hAnsi="Times New Roman" w:hint="eastAsia"/>
          <w:color w:val="000000"/>
        </w:rPr>
        <w:t>代表金光纸业（中国）投资有限公司，为其间接收购博汇纸业（</w:t>
      </w:r>
      <w:r w:rsidRPr="00772366">
        <w:rPr>
          <w:rFonts w:ascii="宋体" w:eastAsia="宋体" w:hAnsi="Times New Roman"/>
          <w:color w:val="000000"/>
        </w:rPr>
        <w:t>600966.SH）提供服务</w:t>
      </w:r>
    </w:p>
    <w:p w14:paraId="657089B8" w14:textId="77777777" w:rsidR="00772366" w:rsidRDefault="00772366" w:rsidP="00772366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72366">
        <w:rPr>
          <w:rFonts w:ascii="宋体" w:eastAsia="宋体" w:hAnsi="Times New Roman" w:hint="eastAsia"/>
          <w:color w:val="000000"/>
        </w:rPr>
        <w:t>代表康达新材（</w:t>
      </w:r>
      <w:r w:rsidRPr="00772366">
        <w:rPr>
          <w:rFonts w:ascii="宋体" w:eastAsia="宋体" w:hAnsi="Times New Roman"/>
          <w:color w:val="000000"/>
        </w:rPr>
        <w:t>002669.SZ），为其通过发行股份方式收购成都必控科技有限责任公司提供服务</w:t>
      </w:r>
    </w:p>
    <w:p w14:paraId="68A5AC15" w14:textId="77777777" w:rsidR="00772366" w:rsidRDefault="00772366" w:rsidP="00772366">
      <w:pPr>
        <w:pStyle w:val="af5"/>
        <w:spacing w:before="120"/>
        <w:rPr>
          <w:rFonts w:ascii="宋体" w:eastAsia="宋体" w:hAnsi="Times New Roman"/>
          <w:color w:val="000000"/>
        </w:rPr>
      </w:pPr>
      <w:r w:rsidRPr="00772366">
        <w:rPr>
          <w:rFonts w:ascii="宋体" w:eastAsia="宋体" w:hAnsi="Times New Roman" w:hint="eastAsia"/>
          <w:color w:val="000000"/>
        </w:rPr>
        <w:t>境内外上市</w:t>
      </w:r>
    </w:p>
    <w:p w14:paraId="6C8CDDA5" w14:textId="77777777" w:rsidR="00772366" w:rsidRDefault="00772366" w:rsidP="00772366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72366">
        <w:rPr>
          <w:rFonts w:ascii="宋体" w:eastAsia="宋体" w:hAnsi="Times New Roman" w:hint="eastAsia"/>
          <w:color w:val="000000"/>
        </w:rPr>
        <w:t>代表上海超硅，为其</w:t>
      </w:r>
      <w:r w:rsidRPr="00772366">
        <w:rPr>
          <w:rFonts w:ascii="宋体" w:eastAsia="宋体" w:hAnsi="Times New Roman"/>
          <w:color w:val="000000"/>
        </w:rPr>
        <w:t>A股IPO项目提供服务（进行中）</w:t>
      </w:r>
    </w:p>
    <w:p w14:paraId="6E0B426B" w14:textId="77777777" w:rsidR="00772366" w:rsidRDefault="00772366" w:rsidP="00772366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72366">
        <w:rPr>
          <w:rFonts w:ascii="宋体" w:eastAsia="宋体" w:hAnsi="Times New Roman" w:hint="eastAsia"/>
          <w:color w:val="000000"/>
        </w:rPr>
        <w:t>代表天合光能（</w:t>
      </w:r>
      <w:r w:rsidRPr="00772366">
        <w:rPr>
          <w:rFonts w:ascii="宋体" w:eastAsia="宋体" w:hAnsi="Times New Roman"/>
          <w:color w:val="000000"/>
        </w:rPr>
        <w:t>688599.SH），为其A股IPO项目提供服务</w:t>
      </w:r>
    </w:p>
    <w:p w14:paraId="478C38A6" w14:textId="77777777" w:rsidR="00772366" w:rsidRDefault="00772366" w:rsidP="00772366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72366">
        <w:rPr>
          <w:rFonts w:ascii="宋体" w:eastAsia="宋体" w:hAnsi="Times New Roman" w:hint="eastAsia"/>
          <w:color w:val="000000"/>
        </w:rPr>
        <w:t>代表康惠制药（</w:t>
      </w:r>
      <w:r w:rsidRPr="00772366">
        <w:rPr>
          <w:rFonts w:ascii="宋体" w:eastAsia="宋体" w:hAnsi="Times New Roman"/>
          <w:color w:val="000000"/>
        </w:rPr>
        <w:t>603139.SH），为其A股IPO项目提供服务</w:t>
      </w:r>
    </w:p>
    <w:p w14:paraId="620072FA" w14:textId="77777777" w:rsidR="00772366" w:rsidRDefault="00772366" w:rsidP="00772366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72366">
        <w:rPr>
          <w:rFonts w:ascii="宋体" w:eastAsia="宋体" w:hAnsi="Times New Roman" w:hint="eastAsia"/>
          <w:color w:val="000000"/>
        </w:rPr>
        <w:t>代表玲珑轮胎（</w:t>
      </w:r>
      <w:r w:rsidRPr="00772366">
        <w:rPr>
          <w:rFonts w:ascii="宋体" w:eastAsia="宋体" w:hAnsi="Times New Roman"/>
          <w:color w:val="000000"/>
        </w:rPr>
        <w:t>601966.SH），为其A股IPO项目提供服务</w:t>
      </w:r>
    </w:p>
    <w:p w14:paraId="2DC31A6E" w14:textId="77777777" w:rsidR="00772366" w:rsidRDefault="00772366" w:rsidP="00772366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72366">
        <w:rPr>
          <w:rFonts w:ascii="宋体" w:eastAsia="宋体" w:hAnsi="Times New Roman" w:hint="eastAsia"/>
          <w:color w:val="000000"/>
        </w:rPr>
        <w:t>代表富瀚微（</w:t>
      </w:r>
      <w:r w:rsidRPr="00772366">
        <w:rPr>
          <w:rFonts w:ascii="宋体" w:eastAsia="宋体" w:hAnsi="Times New Roman"/>
          <w:color w:val="000000"/>
        </w:rPr>
        <w:t>300613.SZ），为其A股IPO项目提供服务</w:t>
      </w:r>
    </w:p>
    <w:p w14:paraId="15F5D5CE" w14:textId="77777777" w:rsidR="00772366" w:rsidRDefault="00772366" w:rsidP="00772366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72366">
        <w:rPr>
          <w:rFonts w:ascii="宋体" w:eastAsia="宋体" w:hAnsi="Times New Roman" w:hint="eastAsia"/>
          <w:color w:val="000000"/>
        </w:rPr>
        <w:t>代表中金公司，为格科微有限公司（</w:t>
      </w:r>
      <w:r w:rsidRPr="00772366">
        <w:rPr>
          <w:rFonts w:ascii="宋体" w:eastAsia="宋体" w:hAnsi="Times New Roman"/>
          <w:color w:val="000000"/>
        </w:rPr>
        <w:t>688728.SH）A股IPO项目提供服务</w:t>
      </w:r>
    </w:p>
    <w:p w14:paraId="14867714" w14:textId="77777777" w:rsidR="00772366" w:rsidRDefault="00772366" w:rsidP="00772366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72366">
        <w:rPr>
          <w:rFonts w:ascii="宋体" w:eastAsia="宋体" w:hAnsi="Times New Roman" w:hint="eastAsia"/>
          <w:color w:val="000000"/>
        </w:rPr>
        <w:t>代表晋商银行（</w:t>
      </w:r>
      <w:r w:rsidRPr="00772366">
        <w:rPr>
          <w:rFonts w:ascii="宋体" w:eastAsia="宋体" w:hAnsi="Times New Roman"/>
          <w:color w:val="000000"/>
        </w:rPr>
        <w:t>02558.HK），为其H股IPO项目提供服务</w:t>
      </w:r>
    </w:p>
    <w:p w14:paraId="01D2B486" w14:textId="77777777" w:rsidR="00772366" w:rsidRDefault="00772366" w:rsidP="00772366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72366">
        <w:rPr>
          <w:rFonts w:ascii="宋体" w:eastAsia="宋体" w:hAnsi="Times New Roman" w:hint="eastAsia"/>
          <w:color w:val="000000"/>
        </w:rPr>
        <w:t>代表学美教育（</w:t>
      </w:r>
      <w:r w:rsidRPr="00772366">
        <w:rPr>
          <w:rFonts w:ascii="宋体" w:eastAsia="宋体" w:hAnsi="Times New Roman"/>
          <w:color w:val="000000"/>
        </w:rPr>
        <w:t>839268），为其新三板挂牌及摘牌项目提供服务</w:t>
      </w:r>
    </w:p>
    <w:p w14:paraId="1A5AD92C" w14:textId="77777777" w:rsidR="00772366" w:rsidRDefault="00772366" w:rsidP="00772366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72366">
        <w:rPr>
          <w:rFonts w:ascii="宋体" w:eastAsia="宋体" w:hAnsi="Times New Roman" w:hint="eastAsia"/>
          <w:color w:val="000000"/>
        </w:rPr>
        <w:t>代表中交通力（</w:t>
      </w:r>
      <w:r w:rsidRPr="00772366">
        <w:rPr>
          <w:rFonts w:ascii="宋体" w:eastAsia="宋体" w:hAnsi="Times New Roman"/>
          <w:color w:val="000000"/>
        </w:rPr>
        <w:t>870958），为其新三板挂牌项目提供服务</w:t>
      </w:r>
    </w:p>
    <w:p w14:paraId="36CF0876" w14:textId="77777777" w:rsidR="00772366" w:rsidRDefault="00772366" w:rsidP="00772366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72366">
        <w:rPr>
          <w:rFonts w:ascii="宋体" w:eastAsia="宋体" w:hAnsi="Times New Roman" w:hint="eastAsia"/>
          <w:color w:val="000000"/>
        </w:rPr>
        <w:t>代表基胜能源（</w:t>
      </w:r>
      <w:r w:rsidRPr="00772366">
        <w:rPr>
          <w:rFonts w:ascii="宋体" w:eastAsia="宋体" w:hAnsi="Times New Roman"/>
          <w:color w:val="000000"/>
        </w:rPr>
        <w:t>871504），为其新三板挂牌项目提供服务</w:t>
      </w:r>
    </w:p>
    <w:p w14:paraId="49C1FB2B" w14:textId="77777777" w:rsidR="00772366" w:rsidRDefault="00772366" w:rsidP="00772366">
      <w:pPr>
        <w:pStyle w:val="af5"/>
        <w:spacing w:before="120"/>
        <w:rPr>
          <w:rFonts w:ascii="宋体" w:eastAsia="宋体" w:hAnsi="Times New Roman"/>
          <w:color w:val="000000"/>
        </w:rPr>
      </w:pPr>
      <w:r w:rsidRPr="00772366">
        <w:rPr>
          <w:rFonts w:ascii="宋体" w:eastAsia="宋体" w:hAnsi="Times New Roman" w:hint="eastAsia"/>
          <w:color w:val="000000"/>
        </w:rPr>
        <w:t>私募股权投资及一般公司业务</w:t>
      </w:r>
    </w:p>
    <w:p w14:paraId="4F368044" w14:textId="77777777" w:rsidR="00772366" w:rsidRDefault="00772366" w:rsidP="00772366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72366">
        <w:rPr>
          <w:rFonts w:ascii="宋体" w:eastAsia="宋体" w:hAnsi="Times New Roman" w:hint="eastAsia"/>
          <w:color w:val="000000"/>
        </w:rPr>
        <w:t>代表博裕资本、德弘资本、凯辉资本、济峰投资等投资机构，为其私募股权投资项目提供服务</w:t>
      </w:r>
    </w:p>
    <w:p w14:paraId="68B62985" w14:textId="77777777" w:rsidR="00772366" w:rsidRDefault="00772366" w:rsidP="00772366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72366">
        <w:rPr>
          <w:rFonts w:ascii="宋体" w:eastAsia="宋体" w:hAnsi="Times New Roman" w:hint="eastAsia"/>
          <w:color w:val="000000"/>
        </w:rPr>
        <w:t>代表上海超硅、浦易生物、晋商银行、依图科技、修正药业，为其增资扩股提供服务</w:t>
      </w:r>
    </w:p>
    <w:p w14:paraId="59216507" w14:textId="77777777" w:rsidR="00772366" w:rsidRDefault="00772366" w:rsidP="00772366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72366">
        <w:rPr>
          <w:rFonts w:ascii="宋体" w:eastAsia="宋体" w:hAnsi="Times New Roman" w:hint="eastAsia"/>
          <w:color w:val="000000"/>
        </w:rPr>
        <w:t>代表阿里巴巴（中国）网络技术有限公司，为其分立事项提供服务</w:t>
      </w:r>
    </w:p>
    <w:p w14:paraId="5FD859C7" w14:textId="77777777" w:rsidR="00772366" w:rsidRDefault="00772366" w:rsidP="00772366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72366">
        <w:rPr>
          <w:rFonts w:ascii="宋体" w:eastAsia="宋体" w:hAnsi="Times New Roman" w:hint="eastAsia"/>
          <w:color w:val="000000"/>
        </w:rPr>
        <w:t>代表山西银行，为其合并山西省五家城商行提供服务</w:t>
      </w:r>
    </w:p>
    <w:p w14:paraId="24F0CC9A" w14:textId="77777777" w:rsidR="00772366" w:rsidRDefault="00772366" w:rsidP="00772366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72366">
        <w:rPr>
          <w:rFonts w:ascii="宋体" w:eastAsia="宋体" w:hAnsi="Times New Roman" w:hint="eastAsia"/>
          <w:color w:val="000000"/>
        </w:rPr>
        <w:t>为阿里巴巴集团、蚂蚁集团、博裕资本等提供投后法律服务</w:t>
      </w:r>
    </w:p>
    <w:p w14:paraId="74EBBD53" w14:textId="77777777" w:rsidR="00772366" w:rsidRDefault="00772366" w:rsidP="00772366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72366">
        <w:rPr>
          <w:rFonts w:ascii="宋体" w:eastAsia="宋体" w:hAnsi="Times New Roman" w:hint="eastAsia"/>
          <w:color w:val="000000"/>
        </w:rPr>
        <w:t>为蚂蚁集团、佳通轮胎、上海超硅、锦江在线、中信证券、晋商银行、天合光能、康惠制药、海利生物、兴业银行、锦富技术、学美教育、中交通力、基胜能源等十余家公司提供过常年法律顾问服务</w:t>
      </w:r>
    </w:p>
    <w:p w14:paraId="4879FADB" w14:textId="77777777" w:rsidR="00772366" w:rsidRDefault="00772366" w:rsidP="0077236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72366">
        <w:rPr>
          <w:rFonts w:ascii="宋体" w:eastAsia="宋体" w:hAnsi="宋体" w:hint="eastAsia"/>
          <w:b/>
          <w:sz w:val="24"/>
        </w:rPr>
        <w:t>教育背景</w:t>
      </w:r>
    </w:p>
    <w:p w14:paraId="7F9D15E7" w14:textId="77777777" w:rsidR="00772366" w:rsidRDefault="00772366" w:rsidP="00772366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72366">
        <w:rPr>
          <w:rFonts w:ascii="宋体" w:eastAsia="宋体" w:hAnsi="Times New Roman" w:hint="eastAsia"/>
          <w:color w:val="000000"/>
        </w:rPr>
        <w:t>复旦大学，法律硕士</w:t>
      </w:r>
    </w:p>
    <w:p w14:paraId="1BCCA154" w14:textId="77777777" w:rsidR="00772366" w:rsidRDefault="00772366" w:rsidP="00772366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72366">
        <w:rPr>
          <w:rFonts w:ascii="宋体" w:eastAsia="宋体" w:hAnsi="Times New Roman" w:hint="eastAsia"/>
          <w:color w:val="000000"/>
        </w:rPr>
        <w:t>上海交通大学，英文文学学士、法学第二学士</w:t>
      </w:r>
    </w:p>
    <w:p w14:paraId="67393ED9" w14:textId="77777777" w:rsidR="00772366" w:rsidRDefault="00772366" w:rsidP="0077236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72366">
        <w:rPr>
          <w:rFonts w:ascii="宋体" w:eastAsia="宋体" w:hAnsi="宋体" w:hint="eastAsia"/>
          <w:b/>
          <w:sz w:val="24"/>
        </w:rPr>
        <w:t>执业资格</w:t>
      </w:r>
    </w:p>
    <w:p w14:paraId="30465053" w14:textId="77777777" w:rsidR="00772366" w:rsidRDefault="00772366" w:rsidP="00772366">
      <w:pPr>
        <w:pStyle w:val="af5"/>
        <w:numPr>
          <w:ilvl w:val="0"/>
          <w:numId w:val="3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72366">
        <w:rPr>
          <w:rFonts w:ascii="宋体" w:eastAsia="宋体" w:hAnsi="Times New Roman" w:hint="eastAsia"/>
          <w:color w:val="000000"/>
        </w:rPr>
        <w:t>中华人民共和国执业律师</w:t>
      </w:r>
    </w:p>
    <w:p w14:paraId="3F414A7F" w14:textId="77777777" w:rsidR="00772366" w:rsidRDefault="00772366" w:rsidP="0077236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72366">
        <w:rPr>
          <w:rFonts w:ascii="宋体" w:eastAsia="宋体" w:hAnsi="宋体" w:hint="eastAsia"/>
          <w:b/>
          <w:sz w:val="24"/>
        </w:rPr>
        <w:t>职业背景</w:t>
      </w:r>
    </w:p>
    <w:p w14:paraId="4F0A196B" w14:textId="4596598B" w:rsidR="00A46A04" w:rsidRPr="00772366" w:rsidRDefault="00772366" w:rsidP="00772366">
      <w:pPr>
        <w:pStyle w:val="af5"/>
        <w:numPr>
          <w:ilvl w:val="0"/>
          <w:numId w:val="3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72366">
        <w:rPr>
          <w:rFonts w:ascii="宋体" w:eastAsia="宋体" w:hAnsi="Times New Roman" w:hint="eastAsia"/>
          <w:color w:val="000000"/>
        </w:rPr>
        <w:t>曹元律师于</w:t>
      </w:r>
      <w:r w:rsidRPr="00772366">
        <w:rPr>
          <w:rFonts w:ascii="宋体" w:eastAsia="宋体" w:hAnsi="Times New Roman"/>
          <w:color w:val="000000"/>
        </w:rPr>
        <w:t>2020年加入方达律师事务所。在此之前，他在金杜律师事务所工作。</w:t>
      </w:r>
    </w:p>
    <w:sectPr w:rsidR="00A46A04" w:rsidRPr="00772366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4E90"/>
    <w:multiLevelType w:val="singleLevel"/>
    <w:tmpl w:val="DF8EE3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21E6384"/>
    <w:multiLevelType w:val="singleLevel"/>
    <w:tmpl w:val="E3420C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7D81222"/>
    <w:multiLevelType w:val="singleLevel"/>
    <w:tmpl w:val="BFAEFE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956604A"/>
    <w:multiLevelType w:val="singleLevel"/>
    <w:tmpl w:val="652828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A0460FF"/>
    <w:multiLevelType w:val="singleLevel"/>
    <w:tmpl w:val="617412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A9E01DF"/>
    <w:multiLevelType w:val="singleLevel"/>
    <w:tmpl w:val="EBE8D3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F7369B7"/>
    <w:multiLevelType w:val="singleLevel"/>
    <w:tmpl w:val="DA0A3D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3B36D95"/>
    <w:multiLevelType w:val="singleLevel"/>
    <w:tmpl w:val="40208C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FB8081E"/>
    <w:multiLevelType w:val="singleLevel"/>
    <w:tmpl w:val="960E07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2A601B4"/>
    <w:multiLevelType w:val="singleLevel"/>
    <w:tmpl w:val="603068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4D23E29"/>
    <w:multiLevelType w:val="singleLevel"/>
    <w:tmpl w:val="6254CC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5CD55A5"/>
    <w:multiLevelType w:val="singleLevel"/>
    <w:tmpl w:val="6284D1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5E87B58"/>
    <w:multiLevelType w:val="singleLevel"/>
    <w:tmpl w:val="46AEE1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6D21279"/>
    <w:multiLevelType w:val="singleLevel"/>
    <w:tmpl w:val="C862E6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D344E7F"/>
    <w:multiLevelType w:val="singleLevel"/>
    <w:tmpl w:val="A9A6B7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2F0915D7"/>
    <w:multiLevelType w:val="singleLevel"/>
    <w:tmpl w:val="09F459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2FD94390"/>
    <w:multiLevelType w:val="singleLevel"/>
    <w:tmpl w:val="5A8055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9" w15:restartNumberingAfterBreak="0">
    <w:nsid w:val="3C6F3313"/>
    <w:multiLevelType w:val="singleLevel"/>
    <w:tmpl w:val="67EA00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0750E20"/>
    <w:multiLevelType w:val="singleLevel"/>
    <w:tmpl w:val="785490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37231FE"/>
    <w:multiLevelType w:val="singleLevel"/>
    <w:tmpl w:val="84924B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437239F"/>
    <w:multiLevelType w:val="singleLevel"/>
    <w:tmpl w:val="67EA00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6A60A3A"/>
    <w:multiLevelType w:val="singleLevel"/>
    <w:tmpl w:val="D3587B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23502CB"/>
    <w:multiLevelType w:val="singleLevel"/>
    <w:tmpl w:val="1FDCB1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4E766AE"/>
    <w:multiLevelType w:val="singleLevel"/>
    <w:tmpl w:val="68F63F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82E1D19"/>
    <w:multiLevelType w:val="singleLevel"/>
    <w:tmpl w:val="9E9C41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977635B"/>
    <w:multiLevelType w:val="singleLevel"/>
    <w:tmpl w:val="B150DF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9ED1469"/>
    <w:multiLevelType w:val="singleLevel"/>
    <w:tmpl w:val="52C608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6284B52"/>
    <w:multiLevelType w:val="singleLevel"/>
    <w:tmpl w:val="FA5C2F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6E8B2C4E"/>
    <w:multiLevelType w:val="singleLevel"/>
    <w:tmpl w:val="E6643D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7CA5DB9"/>
    <w:multiLevelType w:val="singleLevel"/>
    <w:tmpl w:val="52CE0C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5"/>
  </w:num>
  <w:num w:numId="2">
    <w:abstractNumId w:val="18"/>
  </w:num>
  <w:num w:numId="3">
    <w:abstractNumId w:val="0"/>
  </w:num>
  <w:num w:numId="4">
    <w:abstractNumId w:val="25"/>
  </w:num>
  <w:num w:numId="5">
    <w:abstractNumId w:val="5"/>
  </w:num>
  <w:num w:numId="6">
    <w:abstractNumId w:val="2"/>
  </w:num>
  <w:num w:numId="7">
    <w:abstractNumId w:val="27"/>
  </w:num>
  <w:num w:numId="8">
    <w:abstractNumId w:val="30"/>
  </w:num>
  <w:num w:numId="9">
    <w:abstractNumId w:val="31"/>
  </w:num>
  <w:num w:numId="10">
    <w:abstractNumId w:val="24"/>
  </w:num>
  <w:num w:numId="11">
    <w:abstractNumId w:val="3"/>
  </w:num>
  <w:num w:numId="12">
    <w:abstractNumId w:val="7"/>
  </w:num>
  <w:num w:numId="13">
    <w:abstractNumId w:val="28"/>
  </w:num>
  <w:num w:numId="14">
    <w:abstractNumId w:val="14"/>
  </w:num>
  <w:num w:numId="15">
    <w:abstractNumId w:val="10"/>
  </w:num>
  <w:num w:numId="16">
    <w:abstractNumId w:val="17"/>
  </w:num>
  <w:num w:numId="17">
    <w:abstractNumId w:val="16"/>
  </w:num>
  <w:num w:numId="18">
    <w:abstractNumId w:val="6"/>
  </w:num>
  <w:num w:numId="19">
    <w:abstractNumId w:val="23"/>
  </w:num>
  <w:num w:numId="20">
    <w:abstractNumId w:val="1"/>
  </w:num>
  <w:num w:numId="21">
    <w:abstractNumId w:val="9"/>
  </w:num>
  <w:num w:numId="22">
    <w:abstractNumId w:val="4"/>
  </w:num>
  <w:num w:numId="23">
    <w:abstractNumId w:val="26"/>
  </w:num>
  <w:num w:numId="24">
    <w:abstractNumId w:val="12"/>
  </w:num>
  <w:num w:numId="25">
    <w:abstractNumId w:val="29"/>
  </w:num>
  <w:num w:numId="26">
    <w:abstractNumId w:val="11"/>
  </w:num>
  <w:num w:numId="27">
    <w:abstractNumId w:val="21"/>
  </w:num>
  <w:num w:numId="28">
    <w:abstractNumId w:val="20"/>
  </w:num>
  <w:num w:numId="29">
    <w:abstractNumId w:val="13"/>
  </w:num>
  <w:num w:numId="30">
    <w:abstractNumId w:val="8"/>
  </w:num>
  <w:num w:numId="31">
    <w:abstractNumId w:val="19"/>
  </w:num>
  <w:num w:numId="3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72366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772366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772366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F324087-C8DE-4D4B-AAD5-60E763471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202</Words>
  <Characters>1158</Characters>
  <Application>Microsoft Office Word</Application>
  <DocSecurity>0</DocSecurity>
  <Lines>9</Lines>
  <Paragraphs>2</Paragraphs>
  <ScaleCrop>false</ScaleCrop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2026-11-06T20:38:00Z</dcterms:created>
  <dcterms:modified xsi:type="dcterms:W3CDTF">2026-11-06T20:38:00Z</dcterms:modified>
</cp:coreProperties>
</file>