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7834849" w:rsidR="0049405C" w:rsidRPr="00187BAA" w:rsidRDefault="00A31CA2" w:rsidP="00A31CA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31CA2">
              <w:rPr>
                <w:rFonts w:ascii="宋体" w:eastAsia="宋体" w:hAnsi="Times New Roman" w:hint="eastAsia"/>
                <w:b/>
                <w:color w:val="000000"/>
                <w:sz w:val="48"/>
              </w:rPr>
              <w:t>王俞淞</w:t>
            </w:r>
            <w:bookmarkEnd w:id="0"/>
          </w:p>
          <w:p w14:paraId="706EB16B" w14:textId="2278E194" w:rsidR="0049405C" w:rsidRPr="00187BAA" w:rsidRDefault="00A31CA2" w:rsidP="00A31CA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31CA2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1272A211" w:rsidR="0049405C" w:rsidRPr="00187BAA" w:rsidRDefault="00A31CA2" w:rsidP="00A31CA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31CA2">
              <w:rPr>
                <w:rFonts w:ascii="宋体" w:eastAsia="宋体" w:hAnsi="Times New Roman"/>
                <w:color w:val="000000"/>
              </w:rPr>
              <w:t>+86 21 2208 1166</w:t>
            </w:r>
            <w:bookmarkEnd w:id="3"/>
          </w:p>
          <w:p w14:paraId="4F910ACA" w14:textId="52C01B99" w:rsidR="0049405C" w:rsidRPr="00187BAA" w:rsidRDefault="00A31CA2" w:rsidP="00A31CA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31CA2">
              <w:rPr>
                <w:rFonts w:ascii="宋体" w:eastAsia="宋体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65D5922" w:rsidR="0049405C" w:rsidRPr="00187BAA" w:rsidRDefault="00A31CA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63150A1" wp14:editId="4FE5C79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EEFA9FB" w:rsidR="009465FB" w:rsidRPr="00187BAA" w:rsidRDefault="00A31CA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31CA2">
              <w:rPr>
                <w:rFonts w:ascii="宋体" w:eastAsia="宋体" w:hAnsi="Times New Roman" w:hint="eastAsia"/>
                <w:color w:val="000000"/>
                <w:szCs w:val="21"/>
              </w:rPr>
              <w:t>王俞淞律师主要执业领域为资本市场，包括证券发行、并购重组、股权投资及一般公司业务等。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42A3FBE" w14:textId="77777777" w:rsidR="00A31CA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4CACFB6" w14:textId="77777777" w:rsidR="00A31CA2" w:rsidRDefault="00A31CA2" w:rsidP="00A31C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31CA2">
        <w:rPr>
          <w:rFonts w:ascii="宋体" w:eastAsia="宋体" w:hAnsi="宋体" w:hint="eastAsia"/>
          <w:b/>
          <w:sz w:val="24"/>
        </w:rPr>
        <w:t>近期代理的主要案件</w:t>
      </w:r>
    </w:p>
    <w:p w14:paraId="409AF7E5" w14:textId="77777777" w:rsidR="00A31CA2" w:rsidRDefault="00A31CA2" w:rsidP="00A31CA2">
      <w:pPr>
        <w:pStyle w:val="af5"/>
        <w:spacing w:before="12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境内外上市业务</w:t>
      </w:r>
    </w:p>
    <w:p w14:paraId="544BF61E" w14:textId="77777777" w:rsidR="00A31CA2" w:rsidRDefault="00A31CA2" w:rsidP="00A31CA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作为发行人律师，为裕太微（</w:t>
      </w:r>
      <w:r w:rsidRPr="00A31CA2">
        <w:rPr>
          <w:rFonts w:ascii="宋体" w:eastAsia="宋体" w:hAnsi="Times New Roman"/>
          <w:color w:val="000000"/>
        </w:rPr>
        <w:t>688515.SH）A股IPO项目提供法律服务</w:t>
      </w:r>
    </w:p>
    <w:p w14:paraId="77722AA6" w14:textId="77777777" w:rsidR="00A31CA2" w:rsidRDefault="00A31CA2" w:rsidP="00A31CA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作为发行人律师，为盟科药业（</w:t>
      </w:r>
      <w:r w:rsidRPr="00A31CA2">
        <w:rPr>
          <w:rFonts w:ascii="宋体" w:eastAsia="宋体" w:hAnsi="Times New Roman"/>
          <w:color w:val="000000"/>
        </w:rPr>
        <w:t>688373.SH）A股IPO项目提供法律服务</w:t>
      </w:r>
    </w:p>
    <w:p w14:paraId="38DA831C" w14:textId="77777777" w:rsidR="00A31CA2" w:rsidRDefault="00A31CA2" w:rsidP="00A31CA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作为保荐人律师，为合合信息（</w:t>
      </w:r>
      <w:r w:rsidRPr="00A31CA2">
        <w:rPr>
          <w:rFonts w:ascii="宋体" w:eastAsia="宋体" w:hAnsi="Times New Roman"/>
          <w:color w:val="000000"/>
        </w:rPr>
        <w:t>688615.SH）A股IPO项目提供法律服务</w:t>
      </w:r>
    </w:p>
    <w:p w14:paraId="55F56CEE" w14:textId="77777777" w:rsidR="00A31CA2" w:rsidRDefault="00A31CA2" w:rsidP="00A31CA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作为保荐人律师，为赛微微电（</w:t>
      </w:r>
      <w:r w:rsidRPr="00A31CA2">
        <w:rPr>
          <w:rFonts w:ascii="宋体" w:eastAsia="宋体" w:hAnsi="Times New Roman"/>
          <w:color w:val="000000"/>
        </w:rPr>
        <w:t>688325.SH）A股IPO项目提供法律服务</w:t>
      </w:r>
    </w:p>
    <w:p w14:paraId="4AFFB1C8" w14:textId="77777777" w:rsidR="00A31CA2" w:rsidRDefault="00A31CA2" w:rsidP="00A31CA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作为保荐人律师，为海泰新光（</w:t>
      </w:r>
      <w:r w:rsidRPr="00A31CA2">
        <w:rPr>
          <w:rFonts w:ascii="宋体" w:eastAsia="宋体" w:hAnsi="Times New Roman"/>
          <w:color w:val="000000"/>
        </w:rPr>
        <w:t>688677.SH）A股IPO项目提供法律服务</w:t>
      </w:r>
    </w:p>
    <w:p w14:paraId="3902E5E1" w14:textId="77777777" w:rsidR="00A31CA2" w:rsidRDefault="00A31CA2" w:rsidP="00A31CA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作为保荐人律师，为药明康德（</w:t>
      </w:r>
      <w:r w:rsidRPr="00A31CA2">
        <w:rPr>
          <w:rFonts w:ascii="宋体" w:eastAsia="宋体" w:hAnsi="Times New Roman"/>
          <w:color w:val="000000"/>
        </w:rPr>
        <w:t>603259.SH）非公开发行项目提供法律服务</w:t>
      </w:r>
    </w:p>
    <w:p w14:paraId="0E8F1463" w14:textId="77777777" w:rsidR="00A31CA2" w:rsidRDefault="00A31CA2" w:rsidP="00A31CA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作为保荐人律师，为晶晨股份（</w:t>
      </w:r>
      <w:r w:rsidRPr="00A31CA2">
        <w:rPr>
          <w:rFonts w:ascii="宋体" w:eastAsia="宋体" w:hAnsi="Times New Roman"/>
          <w:color w:val="000000"/>
        </w:rPr>
        <w:t>688099.SH）A股IPO项目提供法律服务</w:t>
      </w:r>
    </w:p>
    <w:p w14:paraId="79B4344A" w14:textId="77777777" w:rsidR="00A31CA2" w:rsidRDefault="00A31CA2" w:rsidP="00A31CA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作为发行人律师，为华绿生物（</w:t>
      </w:r>
      <w:r w:rsidRPr="00A31CA2">
        <w:rPr>
          <w:rFonts w:ascii="宋体" w:eastAsia="宋体" w:hAnsi="Times New Roman"/>
          <w:color w:val="000000"/>
        </w:rPr>
        <w:t>300970.SZ）A股IPO项目提供法律服务</w:t>
      </w:r>
    </w:p>
    <w:p w14:paraId="0BC91FCF" w14:textId="77777777" w:rsidR="00A31CA2" w:rsidRDefault="00A31CA2" w:rsidP="00A31CA2">
      <w:pPr>
        <w:pStyle w:val="af5"/>
        <w:spacing w:before="12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上市公司并购重组业务</w:t>
      </w:r>
    </w:p>
    <w:p w14:paraId="6C2A9BBF" w14:textId="77777777" w:rsidR="00A31CA2" w:rsidRDefault="00A31CA2" w:rsidP="00A31CA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作为收购方律师，为中航高科（</w:t>
      </w:r>
      <w:r w:rsidRPr="00A31CA2">
        <w:rPr>
          <w:rFonts w:ascii="宋体" w:eastAsia="宋体" w:hAnsi="Times New Roman"/>
          <w:color w:val="000000"/>
        </w:rPr>
        <w:t>600862.SH）收购项目提供法律服务</w:t>
      </w:r>
    </w:p>
    <w:p w14:paraId="7AEB7053" w14:textId="77777777" w:rsidR="00A31CA2" w:rsidRDefault="00A31CA2" w:rsidP="00A31CA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作为收购方律师，为亚振家居（</w:t>
      </w:r>
      <w:r w:rsidRPr="00A31CA2">
        <w:rPr>
          <w:rFonts w:ascii="宋体" w:eastAsia="宋体" w:hAnsi="Times New Roman"/>
          <w:color w:val="000000"/>
        </w:rPr>
        <w:t>603389.SH）发行股份购买资产项目提供法律服务</w:t>
      </w:r>
    </w:p>
    <w:p w14:paraId="3D06E22C" w14:textId="77777777" w:rsidR="00A31CA2" w:rsidRDefault="00A31CA2" w:rsidP="00A31CA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作为收购方律师，为中电电机（</w:t>
      </w:r>
      <w:r w:rsidRPr="00A31CA2">
        <w:rPr>
          <w:rFonts w:ascii="宋体" w:eastAsia="宋体" w:hAnsi="Times New Roman"/>
          <w:color w:val="000000"/>
        </w:rPr>
        <w:t>603988.SH）发行股份购买资产项目提供法律服务</w:t>
      </w:r>
    </w:p>
    <w:p w14:paraId="22D298DA" w14:textId="77777777" w:rsidR="00A31CA2" w:rsidRDefault="00A31CA2" w:rsidP="00A31CA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作为收购方律师，为镇科集团（</w:t>
      </w:r>
      <w:r w:rsidRPr="00A31CA2">
        <w:rPr>
          <w:rFonts w:ascii="宋体" w:eastAsia="宋体" w:hAnsi="Times New Roman"/>
          <w:color w:val="000000"/>
        </w:rPr>
        <w:t>00859.HK）收购项目提供法律服务</w:t>
      </w:r>
    </w:p>
    <w:p w14:paraId="37C6F79A" w14:textId="77777777" w:rsidR="00A31CA2" w:rsidRDefault="00A31CA2" w:rsidP="00A31CA2">
      <w:pPr>
        <w:pStyle w:val="af5"/>
        <w:spacing w:before="12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投融资及一般公司业务</w:t>
      </w:r>
    </w:p>
    <w:p w14:paraId="77E7E5CA" w14:textId="77777777" w:rsidR="00A31CA2" w:rsidRDefault="00A31CA2" w:rsidP="00A31CA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作为投资方律师，为上汽创投提供投资法律服务</w:t>
      </w:r>
    </w:p>
    <w:p w14:paraId="4F671EC6" w14:textId="77777777" w:rsidR="00A31CA2" w:rsidRDefault="00A31CA2" w:rsidP="00A31CA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作为投资方律师，为川流资本提供投资法律服务</w:t>
      </w:r>
    </w:p>
    <w:p w14:paraId="1DCE3B37" w14:textId="77777777" w:rsidR="00A31CA2" w:rsidRDefault="00A31CA2" w:rsidP="00A31CA2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作为投资方律师，为尚颀资本提供投资法律服务</w:t>
      </w:r>
    </w:p>
    <w:p w14:paraId="34955455" w14:textId="77777777" w:rsidR="00A31CA2" w:rsidRDefault="00A31CA2" w:rsidP="00A31CA2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作为投资方律师，为临芯资本提供投资法律服务</w:t>
      </w:r>
    </w:p>
    <w:p w14:paraId="3E486A36" w14:textId="77777777" w:rsidR="00A31CA2" w:rsidRDefault="00A31CA2" w:rsidP="00A31CA2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作为投资方律师，为道远资本提供投资法律服</w:t>
      </w:r>
    </w:p>
    <w:p w14:paraId="593B6105" w14:textId="77777777" w:rsidR="00A31CA2" w:rsidRDefault="00A31CA2" w:rsidP="00A31CA2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作为投资方律师，为高顿教育提供投资法律服务</w:t>
      </w:r>
    </w:p>
    <w:p w14:paraId="26B76844" w14:textId="77777777" w:rsidR="00A31CA2" w:rsidRDefault="00A31CA2" w:rsidP="00A31CA2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作为公司律师，为盟科药业（</w:t>
      </w:r>
      <w:r w:rsidRPr="00A31CA2">
        <w:rPr>
          <w:rFonts w:ascii="宋体" w:eastAsia="宋体" w:hAnsi="Times New Roman"/>
          <w:color w:val="000000"/>
        </w:rPr>
        <w:t>688373.SH）提供融资法律服务</w:t>
      </w:r>
    </w:p>
    <w:p w14:paraId="1CA71BCB" w14:textId="77777777" w:rsidR="00A31CA2" w:rsidRDefault="00A31CA2" w:rsidP="00A31CA2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为盟科药业（</w:t>
      </w:r>
      <w:r w:rsidRPr="00A31CA2">
        <w:rPr>
          <w:rFonts w:ascii="宋体" w:eastAsia="宋体" w:hAnsi="Times New Roman"/>
          <w:color w:val="000000"/>
        </w:rPr>
        <w:t>688373.SH）、晶晨股份（688099.SH）、安井食品（603345.SH）、联翔股份（603272.SH）等上市公司提供过常年法律顾问服务。</w:t>
      </w:r>
    </w:p>
    <w:p w14:paraId="4848567A" w14:textId="77777777" w:rsidR="00A31CA2" w:rsidRDefault="00A31CA2" w:rsidP="00A31C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31CA2">
        <w:rPr>
          <w:rFonts w:ascii="宋体" w:eastAsia="宋体" w:hAnsi="宋体" w:hint="eastAsia"/>
          <w:b/>
          <w:sz w:val="24"/>
        </w:rPr>
        <w:t>教育背景</w:t>
      </w:r>
    </w:p>
    <w:p w14:paraId="15E17F52" w14:textId="77777777" w:rsidR="00A31CA2" w:rsidRDefault="00A31CA2" w:rsidP="00A31CA2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上海交通大学，法律硕士</w:t>
      </w:r>
    </w:p>
    <w:p w14:paraId="1CC41519" w14:textId="77777777" w:rsidR="00A31CA2" w:rsidRDefault="00A31CA2" w:rsidP="00A31C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31CA2">
        <w:rPr>
          <w:rFonts w:ascii="宋体" w:eastAsia="宋体" w:hAnsi="宋体" w:hint="eastAsia"/>
          <w:b/>
          <w:sz w:val="24"/>
        </w:rPr>
        <w:t>执业资格</w:t>
      </w:r>
    </w:p>
    <w:p w14:paraId="358E9FAB" w14:textId="77777777" w:rsidR="00A31CA2" w:rsidRDefault="00A31CA2" w:rsidP="00A31CA2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中华人民共和国执业律师</w:t>
      </w:r>
    </w:p>
    <w:p w14:paraId="5555CCBF" w14:textId="77777777" w:rsidR="00A31CA2" w:rsidRDefault="00A31CA2" w:rsidP="00A31C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31CA2">
        <w:rPr>
          <w:rFonts w:ascii="宋体" w:eastAsia="宋体" w:hAnsi="宋体" w:hint="eastAsia"/>
          <w:b/>
          <w:sz w:val="24"/>
        </w:rPr>
        <w:t>职业背景</w:t>
      </w:r>
    </w:p>
    <w:p w14:paraId="4F0A196B" w14:textId="2CD0A6D9" w:rsidR="00A46A04" w:rsidRPr="00A31CA2" w:rsidRDefault="00A31CA2" w:rsidP="00A31CA2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31CA2">
        <w:rPr>
          <w:rFonts w:ascii="宋体" w:eastAsia="宋体" w:hAnsi="Times New Roman" w:hint="eastAsia"/>
          <w:color w:val="000000"/>
        </w:rPr>
        <w:t>王律师</w:t>
      </w:r>
      <w:r w:rsidRPr="00A31CA2">
        <w:rPr>
          <w:rFonts w:ascii="宋体" w:eastAsia="宋体" w:hAnsi="Times New Roman"/>
          <w:color w:val="000000"/>
        </w:rPr>
        <w:t>2022年加入方达律师事务所。在此之前，他曾在一家资本市场领先的律师事务所工作。</w:t>
      </w:r>
    </w:p>
    <w:sectPr w:rsidR="00A46A04" w:rsidRPr="00A31CA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2374"/>
    <w:multiLevelType w:val="singleLevel"/>
    <w:tmpl w:val="2A8203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4C5F9F"/>
    <w:multiLevelType w:val="singleLevel"/>
    <w:tmpl w:val="00BEC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D00161"/>
    <w:multiLevelType w:val="singleLevel"/>
    <w:tmpl w:val="FB0ECA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966E58"/>
    <w:multiLevelType w:val="singleLevel"/>
    <w:tmpl w:val="7B98E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4952FA6"/>
    <w:multiLevelType w:val="singleLevel"/>
    <w:tmpl w:val="E41C9F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CD0D89"/>
    <w:multiLevelType w:val="singleLevel"/>
    <w:tmpl w:val="FA82F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CB3AB2"/>
    <w:multiLevelType w:val="singleLevel"/>
    <w:tmpl w:val="75CA4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E73076"/>
    <w:multiLevelType w:val="singleLevel"/>
    <w:tmpl w:val="EA66D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994E65"/>
    <w:multiLevelType w:val="singleLevel"/>
    <w:tmpl w:val="8C8A2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6687CE3"/>
    <w:multiLevelType w:val="singleLevel"/>
    <w:tmpl w:val="B7389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B8233A6"/>
    <w:multiLevelType w:val="singleLevel"/>
    <w:tmpl w:val="CABE7C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C5F54BD"/>
    <w:multiLevelType w:val="singleLevel"/>
    <w:tmpl w:val="B7389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92960C6"/>
    <w:multiLevelType w:val="singleLevel"/>
    <w:tmpl w:val="E880FC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DB5566C"/>
    <w:multiLevelType w:val="singleLevel"/>
    <w:tmpl w:val="30186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2FD76BF"/>
    <w:multiLevelType w:val="singleLevel"/>
    <w:tmpl w:val="B720CB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D572CBE"/>
    <w:multiLevelType w:val="singleLevel"/>
    <w:tmpl w:val="4D1A57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1942E15"/>
    <w:multiLevelType w:val="singleLevel"/>
    <w:tmpl w:val="D98E9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36A13DD"/>
    <w:multiLevelType w:val="singleLevel"/>
    <w:tmpl w:val="D116D9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378352C"/>
    <w:multiLevelType w:val="singleLevel"/>
    <w:tmpl w:val="4CC0BA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5FF41F8"/>
    <w:multiLevelType w:val="singleLevel"/>
    <w:tmpl w:val="F670BF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F235556"/>
    <w:multiLevelType w:val="singleLevel"/>
    <w:tmpl w:val="43CEA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2F61E53"/>
    <w:multiLevelType w:val="singleLevel"/>
    <w:tmpl w:val="1B9A37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7D02D3A"/>
    <w:multiLevelType w:val="singleLevel"/>
    <w:tmpl w:val="565220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9CF4386"/>
    <w:multiLevelType w:val="singleLevel"/>
    <w:tmpl w:val="6B88B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18"/>
  </w:num>
  <w:num w:numId="5">
    <w:abstractNumId w:val="23"/>
  </w:num>
  <w:num w:numId="6">
    <w:abstractNumId w:val="7"/>
  </w:num>
  <w:num w:numId="7">
    <w:abstractNumId w:val="24"/>
  </w:num>
  <w:num w:numId="8">
    <w:abstractNumId w:val="21"/>
  </w:num>
  <w:num w:numId="9">
    <w:abstractNumId w:val="14"/>
  </w:num>
  <w:num w:numId="10">
    <w:abstractNumId w:val="22"/>
  </w:num>
  <w:num w:numId="11">
    <w:abstractNumId w:val="16"/>
  </w:num>
  <w:num w:numId="12">
    <w:abstractNumId w:val="25"/>
  </w:num>
  <w:num w:numId="13">
    <w:abstractNumId w:val="20"/>
  </w:num>
  <w:num w:numId="14">
    <w:abstractNumId w:val="6"/>
  </w:num>
  <w:num w:numId="15">
    <w:abstractNumId w:val="9"/>
  </w:num>
  <w:num w:numId="16">
    <w:abstractNumId w:val="15"/>
  </w:num>
  <w:num w:numId="17">
    <w:abstractNumId w:val="17"/>
  </w:num>
  <w:num w:numId="18">
    <w:abstractNumId w:val="3"/>
  </w:num>
  <w:num w:numId="19">
    <w:abstractNumId w:val="4"/>
  </w:num>
  <w:num w:numId="20">
    <w:abstractNumId w:val="2"/>
  </w:num>
  <w:num w:numId="21">
    <w:abstractNumId w:val="5"/>
  </w:num>
  <w:num w:numId="22">
    <w:abstractNumId w:val="0"/>
  </w:num>
  <w:num w:numId="23">
    <w:abstractNumId w:val="19"/>
  </w:num>
  <w:num w:numId="24">
    <w:abstractNumId w:val="12"/>
  </w:num>
  <w:num w:numId="25">
    <w:abstractNumId w:val="10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31CA2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31CA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31CA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BC93AC3-EC9E-4FE6-BDF7-E1584616C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2026-09-05T11:55:00Z</dcterms:created>
  <dcterms:modified xsi:type="dcterms:W3CDTF">2026-09-05T11:55:00Z</dcterms:modified>
</cp:coreProperties>
</file>