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9A7613" w:rsidR="0049405C" w:rsidRPr="00187BAA" w:rsidRDefault="004A2C2C" w:rsidP="004A2C2C">
            <w:pPr>
              <w:spacing w:line="720" w:lineRule="auto"/>
              <w:rPr>
                <w:rFonts w:ascii="宋体" w:eastAsia="宋体" w:hAnsi="宋体"/>
                <w:color w:val="545551"/>
              </w:rPr>
            </w:pPr>
            <w:bookmarkStart w:id="0" w:name="xingming"/>
            <w:bookmarkStart w:id="1" w:name="_GoBack"/>
            <w:bookmarkEnd w:id="1"/>
            <w:r w:rsidRPr="004A2C2C">
              <w:rPr>
                <w:rFonts w:ascii="宋体" w:eastAsia="宋体" w:hAnsi="Times New Roman"/>
                <w:b/>
                <w:color w:val="000000"/>
                <w:sz w:val="48"/>
              </w:rPr>
              <w:t>SARUN (OAT) POONYABAVORNCHAI</w:t>
            </w:r>
            <w:bookmarkEnd w:id="0"/>
          </w:p>
          <w:p w14:paraId="706EB16B" w14:textId="45B0A07A" w:rsidR="0049405C" w:rsidRPr="00187BAA" w:rsidRDefault="004A2C2C" w:rsidP="004A2C2C">
            <w:pPr>
              <w:spacing w:line="360" w:lineRule="auto"/>
              <w:rPr>
                <w:rFonts w:ascii="宋体" w:eastAsia="宋体" w:hAnsi="宋体"/>
                <w:b/>
                <w:bCs/>
                <w:color w:val="545551"/>
              </w:rPr>
            </w:pPr>
            <w:bookmarkStart w:id="2" w:name="didian"/>
            <w:r w:rsidRPr="004A2C2C">
              <w:rPr>
                <w:rFonts w:ascii="宋体" w:eastAsia="宋体" w:hAnsi="Times New Roman" w:hint="eastAsia"/>
                <w:b/>
                <w:bCs/>
                <w:color w:val="000000"/>
              </w:rPr>
              <w:t>本地合伙人·新加坡</w:t>
            </w:r>
            <w:bookmarkEnd w:id="2"/>
          </w:p>
          <w:p w14:paraId="6199424A" w14:textId="24093F8A" w:rsidR="0049405C" w:rsidRPr="00187BAA" w:rsidRDefault="004A2C2C" w:rsidP="004A2C2C">
            <w:pPr>
              <w:spacing w:line="360" w:lineRule="auto"/>
              <w:rPr>
                <w:rFonts w:ascii="宋体" w:eastAsia="宋体" w:hAnsi="宋体"/>
                <w:color w:val="545551"/>
              </w:rPr>
            </w:pPr>
            <w:bookmarkStart w:id="3" w:name="dianhua"/>
            <w:r w:rsidRPr="004A2C2C">
              <w:rPr>
                <w:rFonts w:ascii="宋体" w:eastAsia="宋体" w:hAnsi="Times New Roman"/>
                <w:color w:val="000000"/>
              </w:rPr>
              <w:t>+65 6859 6787</w:t>
            </w:r>
            <w:bookmarkEnd w:id="3"/>
          </w:p>
          <w:p w14:paraId="4F910ACA" w14:textId="11D75519" w:rsidR="0049405C" w:rsidRPr="00187BAA" w:rsidRDefault="004A2C2C" w:rsidP="004A2C2C">
            <w:pPr>
              <w:spacing w:line="360" w:lineRule="auto"/>
              <w:rPr>
                <w:rFonts w:ascii="宋体" w:eastAsia="宋体" w:hAnsi="宋体"/>
                <w:color w:val="000000"/>
              </w:rPr>
            </w:pPr>
            <w:bookmarkStart w:id="4" w:name="youxiang"/>
            <w:r w:rsidRPr="004A2C2C">
              <w:rPr>
                <w:rFonts w:ascii="宋体" w:eastAsia="宋体" w:hAnsi="Times New Roman"/>
                <w:color w:val="000000"/>
              </w:rPr>
              <w:t>sarun.p@fangdalaw.com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245F42" w:rsidR="0049405C" w:rsidRPr="00187BAA" w:rsidRDefault="004A2C2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1672B3E" wp14:editId="6E314A7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E849E5" w:rsidR="009465FB" w:rsidRPr="00187BAA" w:rsidRDefault="004A2C2C" w:rsidP="007177F3">
            <w:pPr>
              <w:rPr>
                <w:rFonts w:ascii="宋体" w:eastAsia="宋体" w:hAnsi="宋体"/>
                <w:color w:val="000000"/>
                <w:szCs w:val="21"/>
              </w:rPr>
            </w:pPr>
            <w:bookmarkStart w:id="6" w:name="zhiyelingyu"/>
            <w:r w:rsidRPr="004A2C2C">
              <w:rPr>
                <w:rFonts w:ascii="宋体" w:eastAsia="宋体" w:hAnsi="Times New Roman"/>
                <w:color w:val="000000"/>
                <w:szCs w:val="21"/>
              </w:rPr>
              <w:t>Sarun的执业领域包括跨境并购及泰国公司法与商法业务。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ABB9D6" w14:textId="77777777" w:rsidR="004A2C2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886656" w14:textId="77777777" w:rsidR="004A2C2C" w:rsidRDefault="004A2C2C" w:rsidP="004A2C2C">
      <w:pPr>
        <w:pStyle w:val="af5"/>
        <w:spacing w:after="0" w:line="480" w:lineRule="auto"/>
        <w:rPr>
          <w:rFonts w:ascii="宋体" w:eastAsia="宋体" w:hAnsi="宋体"/>
          <w:b/>
          <w:sz w:val="24"/>
        </w:rPr>
      </w:pPr>
      <w:r w:rsidRPr="004A2C2C">
        <w:rPr>
          <w:rFonts w:ascii="宋体" w:eastAsia="宋体" w:hAnsi="宋体" w:hint="eastAsia"/>
          <w:b/>
          <w:sz w:val="24"/>
        </w:rPr>
        <w:t>近期代理的主要案件</w:t>
      </w:r>
    </w:p>
    <w:p w14:paraId="50C17A20" w14:textId="77777777" w:rsidR="004A2C2C" w:rsidRDefault="004A2C2C" w:rsidP="004A2C2C">
      <w:pPr>
        <w:pStyle w:val="af5"/>
        <w:spacing w:before="120"/>
        <w:rPr>
          <w:rFonts w:ascii="宋体" w:eastAsia="宋体" w:hAnsi="Times New Roman"/>
          <w:color w:val="000000"/>
        </w:rPr>
      </w:pPr>
    </w:p>
    <w:p w14:paraId="2FA6073E" w14:textId="77777777" w:rsidR="004A2C2C" w:rsidRDefault="004A2C2C" w:rsidP="004A2C2C">
      <w:pPr>
        <w:pStyle w:val="af5"/>
        <w:numPr>
          <w:ilvl w:val="0"/>
          <w:numId w:val="4"/>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代表一家专注于全球基础设施投资的私募股权基金，对其向泰国领先的数据中心运营商进行的重大少数股权增长型投资提供法律服务。</w:t>
      </w:r>
    </w:p>
    <w:p w14:paraId="14764759" w14:textId="77777777" w:rsidR="004A2C2C" w:rsidRDefault="004A2C2C" w:rsidP="004A2C2C">
      <w:pPr>
        <w:pStyle w:val="af5"/>
        <w:numPr>
          <w:ilvl w:val="0"/>
          <w:numId w:val="5"/>
        </w:numPr>
        <w:spacing w:before="120"/>
        <w:ind w:left="690" w:hanging="240"/>
        <w:rPr>
          <w:rFonts w:ascii="宋体" w:eastAsia="宋体" w:hAnsi="Times New Roman"/>
          <w:color w:val="000000"/>
        </w:rPr>
      </w:pPr>
      <w:r w:rsidRPr="004A2C2C">
        <w:rPr>
          <w:rFonts w:ascii="宋体" w:eastAsia="宋体" w:hAnsi="Times New Roman" w:hint="eastAsia"/>
          <w:color w:val="000000"/>
        </w:rPr>
        <w:t>作为交易法律顾问，协助一家泰国大型电力生产商和一家领先的新加坡数据中心运营商在泰国建立数据中心合资企业。这是该泰国电力生产商首次涉足该领域，也是该新加坡数据中心运营商在泰国的首次投资。</w:t>
      </w:r>
    </w:p>
    <w:p w14:paraId="20761953" w14:textId="77777777" w:rsidR="004A2C2C" w:rsidRDefault="004A2C2C" w:rsidP="004A2C2C">
      <w:pPr>
        <w:pStyle w:val="af5"/>
        <w:numPr>
          <w:ilvl w:val="0"/>
          <w:numId w:val="6"/>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代表一家领先的泰国房地产开发商，对一家全球性活动组织者进行复杂的少数股权投资并组建合资企业。</w:t>
      </w:r>
    </w:p>
    <w:p w14:paraId="20EFFC88" w14:textId="77777777" w:rsidR="004A2C2C" w:rsidRDefault="004A2C2C" w:rsidP="004A2C2C">
      <w:pPr>
        <w:pStyle w:val="af5"/>
        <w:numPr>
          <w:ilvl w:val="0"/>
          <w:numId w:val="7"/>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代表一家大型电力生产商，对其以</w:t>
      </w:r>
      <w:r w:rsidRPr="004A2C2C">
        <w:rPr>
          <w:rFonts w:ascii="宋体" w:eastAsia="宋体" w:hAnsi="Times New Roman"/>
          <w:color w:val="000000"/>
        </w:rPr>
        <w:t>5亿美元出售其在泰国某燃气热电联产电力组合中的部分股权提供法律服务。</w:t>
      </w:r>
    </w:p>
    <w:p w14:paraId="61BEE308" w14:textId="77777777" w:rsidR="004A2C2C" w:rsidRDefault="004A2C2C" w:rsidP="004A2C2C">
      <w:pPr>
        <w:pStyle w:val="af5"/>
        <w:numPr>
          <w:ilvl w:val="0"/>
          <w:numId w:val="8"/>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代表一家私募股权基金公司收购泰国一家本地医院。</w:t>
      </w:r>
    </w:p>
    <w:p w14:paraId="4EB88215" w14:textId="77777777" w:rsidR="004A2C2C" w:rsidRDefault="004A2C2C" w:rsidP="004A2C2C">
      <w:pPr>
        <w:pStyle w:val="af5"/>
        <w:numPr>
          <w:ilvl w:val="0"/>
          <w:numId w:val="9"/>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代表一家私人信贷基金，向一家泰国房地产开发商提供困境贷款。</w:t>
      </w:r>
    </w:p>
    <w:p w14:paraId="2D32F88E" w14:textId="77777777" w:rsidR="004A2C2C" w:rsidRDefault="004A2C2C" w:rsidP="004A2C2C">
      <w:pPr>
        <w:pStyle w:val="af5"/>
        <w:numPr>
          <w:ilvl w:val="0"/>
          <w:numId w:val="10"/>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代表一家全球领先的音乐集团，收购一家知名泰国唱片公司音乐曲库</w:t>
      </w:r>
      <w:r w:rsidRPr="004A2C2C">
        <w:rPr>
          <w:rFonts w:ascii="宋体" w:eastAsia="宋体" w:hAnsi="Times New Roman"/>
          <w:color w:val="000000"/>
        </w:rPr>
        <w:t>70%的版权，并协助双方就该音乐曲库建立交割后合资企业。</w:t>
      </w:r>
    </w:p>
    <w:p w14:paraId="69766A7A" w14:textId="77777777" w:rsidR="004A2C2C" w:rsidRDefault="004A2C2C" w:rsidP="004A2C2C">
      <w:pPr>
        <w:pStyle w:val="af5"/>
        <w:numPr>
          <w:ilvl w:val="0"/>
          <w:numId w:val="11"/>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代表一家私募基金投资的医疗器械分销商，为其对泰国当地一家同业公司的潜在收购提供法律服务。</w:t>
      </w:r>
    </w:p>
    <w:p w14:paraId="5C232E7F" w14:textId="77777777" w:rsidR="004A2C2C" w:rsidRDefault="004A2C2C" w:rsidP="004A2C2C">
      <w:pPr>
        <w:pStyle w:val="af5"/>
        <w:numPr>
          <w:ilvl w:val="0"/>
          <w:numId w:val="12"/>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代表一家私募股权投资者财团收购东南亚一家领先的葡萄酒专卖店及葡萄酒主题餐厅连锁品牌。</w:t>
      </w:r>
    </w:p>
    <w:p w14:paraId="3DE94BDD" w14:textId="77777777" w:rsidR="004A2C2C" w:rsidRDefault="004A2C2C" w:rsidP="004A2C2C">
      <w:pPr>
        <w:pStyle w:val="af5"/>
        <w:numPr>
          <w:ilvl w:val="0"/>
          <w:numId w:val="13"/>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代表一家领先的公用事业公司，与一家专注于基础设施投资（特别是风电）的丹麦基金组建合资企业。</w:t>
      </w:r>
    </w:p>
    <w:p w14:paraId="134C2ABC" w14:textId="77777777" w:rsidR="004A2C2C" w:rsidRDefault="004A2C2C" w:rsidP="004A2C2C">
      <w:pPr>
        <w:pStyle w:val="af5"/>
        <w:numPr>
          <w:ilvl w:val="0"/>
          <w:numId w:val="14"/>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代表一家商业银行，向一家私募债务基金出售其债权资产包。</w:t>
      </w:r>
    </w:p>
    <w:p w14:paraId="7FBAAB14" w14:textId="77777777" w:rsidR="004A2C2C" w:rsidRDefault="004A2C2C" w:rsidP="004A2C2C">
      <w:pPr>
        <w:pStyle w:val="af5"/>
        <w:numPr>
          <w:ilvl w:val="0"/>
          <w:numId w:val="15"/>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代表一家消费金融业务运营商，与一家印尼金融科技公司成立合资企业，在泰国开展先买后付（</w:t>
      </w:r>
      <w:r w:rsidRPr="004A2C2C">
        <w:rPr>
          <w:rFonts w:ascii="宋体" w:eastAsia="宋体" w:hAnsi="Times New Roman"/>
          <w:color w:val="000000"/>
        </w:rPr>
        <w:t>BNPL）业务。</w:t>
      </w:r>
    </w:p>
    <w:p w14:paraId="37C6FB09" w14:textId="77777777" w:rsidR="004A2C2C" w:rsidRDefault="004A2C2C" w:rsidP="004A2C2C">
      <w:pPr>
        <w:pStyle w:val="af5"/>
        <w:numPr>
          <w:ilvl w:val="0"/>
          <w:numId w:val="16"/>
        </w:numPr>
        <w:spacing w:before="120"/>
        <w:ind w:left="690" w:hanging="240"/>
        <w:rPr>
          <w:rFonts w:ascii="宋体" w:eastAsia="宋体" w:hAnsi="Times New Roman"/>
          <w:color w:val="000000"/>
        </w:rPr>
      </w:pPr>
      <w:r w:rsidRPr="004A2C2C">
        <w:rPr>
          <w:rFonts w:ascii="宋体" w:eastAsia="宋体" w:hAnsi="Times New Roman" w:hint="eastAsia"/>
          <w:color w:val="000000"/>
        </w:rPr>
        <w:t>为泰国领先的商业银行就其信用卡和个人贷款业务的分拆提供法律服务。</w:t>
      </w:r>
    </w:p>
    <w:p w14:paraId="70D3E575" w14:textId="77777777" w:rsidR="004A2C2C" w:rsidRDefault="004A2C2C" w:rsidP="004A2C2C">
      <w:pPr>
        <w:pStyle w:val="af5"/>
        <w:numPr>
          <w:ilvl w:val="0"/>
          <w:numId w:val="17"/>
        </w:numPr>
        <w:spacing w:before="120"/>
        <w:ind w:left="690" w:hanging="240"/>
        <w:rPr>
          <w:rFonts w:ascii="宋体" w:eastAsia="宋体" w:hAnsi="Times New Roman"/>
          <w:color w:val="000000"/>
        </w:rPr>
      </w:pPr>
      <w:r w:rsidRPr="004A2C2C">
        <w:rPr>
          <w:rFonts w:ascii="宋体" w:eastAsia="宋体" w:hAnsi="Times New Roman" w:hint="eastAsia"/>
          <w:color w:val="000000"/>
        </w:rPr>
        <w:t>代表一家大型泰国银行，与泰国及新加坡金融科技公司组建合资企业，从而建立一个销售共同基金产品的财富管理平台。</w:t>
      </w:r>
    </w:p>
    <w:p w14:paraId="3CCC0289" w14:textId="77777777" w:rsidR="004A2C2C" w:rsidRDefault="004A2C2C" w:rsidP="004A2C2C">
      <w:pPr>
        <w:pStyle w:val="af5"/>
        <w:numPr>
          <w:ilvl w:val="0"/>
          <w:numId w:val="18"/>
        </w:numPr>
        <w:spacing w:before="120"/>
        <w:ind w:left="690" w:hanging="240"/>
        <w:rPr>
          <w:rFonts w:ascii="宋体" w:eastAsia="宋体" w:hAnsi="Times New Roman"/>
          <w:color w:val="000000"/>
        </w:rPr>
      </w:pPr>
      <w:r w:rsidRPr="004A2C2C">
        <w:rPr>
          <w:rFonts w:ascii="宋体" w:eastAsia="宋体" w:hAnsi="Times New Roman" w:hint="eastAsia"/>
          <w:color w:val="000000"/>
        </w:rPr>
        <w:t>协助多家大型投资银行和一家欧洲私人银行，通过在泰国和新加坡设立双层合资公司架构等模式进入泰国财富管理市场。</w:t>
      </w:r>
    </w:p>
    <w:p w14:paraId="383F141F" w14:textId="77777777" w:rsidR="004A2C2C" w:rsidRDefault="004A2C2C" w:rsidP="004A2C2C">
      <w:pPr>
        <w:pStyle w:val="af5"/>
        <w:numPr>
          <w:ilvl w:val="0"/>
          <w:numId w:val="19"/>
        </w:numPr>
        <w:spacing w:before="120"/>
        <w:ind w:left="690" w:hanging="240"/>
        <w:rPr>
          <w:rFonts w:ascii="宋体" w:eastAsia="宋体" w:hAnsi="Times New Roman"/>
          <w:color w:val="000000"/>
        </w:rPr>
      </w:pPr>
      <w:r w:rsidRPr="004A2C2C">
        <w:rPr>
          <w:rFonts w:ascii="宋体" w:eastAsia="宋体" w:hAnsi="Times New Roman" w:hint="eastAsia"/>
          <w:color w:val="000000"/>
        </w:rPr>
        <w:t>代表多家领先的券商，为其高净值客户完成对封闭式与离岸开放式私募基金的数百万美元投资。</w:t>
      </w:r>
    </w:p>
    <w:p w14:paraId="2ECB0C89" w14:textId="77777777" w:rsidR="004A2C2C" w:rsidRDefault="004A2C2C" w:rsidP="004A2C2C">
      <w:pPr>
        <w:pStyle w:val="af5"/>
        <w:numPr>
          <w:ilvl w:val="0"/>
          <w:numId w:val="20"/>
        </w:numPr>
        <w:spacing w:before="120"/>
        <w:ind w:left="690" w:hanging="240"/>
        <w:rPr>
          <w:rFonts w:ascii="宋体" w:eastAsia="宋体" w:hAnsi="Times New Roman"/>
          <w:color w:val="000000"/>
        </w:rPr>
      </w:pPr>
      <w:r w:rsidRPr="004A2C2C">
        <w:rPr>
          <w:rFonts w:ascii="宋体" w:eastAsia="宋体" w:hAnsi="Times New Roman" w:hint="eastAsia"/>
          <w:color w:val="000000"/>
        </w:rPr>
        <w:t>为一家上市医疗集团就其通过全部业务转让（</w:t>
      </w:r>
      <w:r w:rsidRPr="004A2C2C">
        <w:rPr>
          <w:rFonts w:ascii="宋体" w:eastAsia="宋体" w:hAnsi="Times New Roman"/>
          <w:color w:val="000000"/>
        </w:rPr>
        <w:t>EBT）方式对泰国当地医院进行的一系列战略收购提供法律服务。</w:t>
      </w:r>
    </w:p>
    <w:p w14:paraId="055A3C77" w14:textId="77777777" w:rsidR="004A2C2C" w:rsidRDefault="004A2C2C" w:rsidP="004A2C2C">
      <w:pPr>
        <w:pStyle w:val="af5"/>
        <w:spacing w:after="0" w:line="480" w:lineRule="auto"/>
        <w:rPr>
          <w:rFonts w:ascii="宋体" w:eastAsia="宋体" w:hAnsi="宋体"/>
          <w:b/>
          <w:sz w:val="24"/>
        </w:rPr>
      </w:pPr>
      <w:r w:rsidRPr="004A2C2C">
        <w:rPr>
          <w:rFonts w:ascii="宋体" w:eastAsia="宋体" w:hAnsi="宋体" w:hint="eastAsia"/>
          <w:b/>
          <w:sz w:val="24"/>
        </w:rPr>
        <w:t>教育背景</w:t>
      </w:r>
    </w:p>
    <w:p w14:paraId="6BB77B09" w14:textId="77777777" w:rsidR="004A2C2C" w:rsidRDefault="004A2C2C" w:rsidP="004A2C2C">
      <w:pPr>
        <w:pStyle w:val="af5"/>
        <w:numPr>
          <w:ilvl w:val="0"/>
          <w:numId w:val="21"/>
        </w:numPr>
        <w:spacing w:before="120"/>
        <w:ind w:left="690" w:hanging="240"/>
        <w:rPr>
          <w:rFonts w:ascii="宋体" w:eastAsia="宋体" w:hAnsi="Times New Roman"/>
          <w:color w:val="000000"/>
        </w:rPr>
      </w:pPr>
      <w:r w:rsidRPr="004A2C2C">
        <w:rPr>
          <w:rFonts w:ascii="宋体" w:eastAsia="宋体" w:hAnsi="Times New Roman" w:hint="eastAsia"/>
          <w:color w:val="000000"/>
        </w:rPr>
        <w:t>哈佛大学法学院，法学硕士</w:t>
      </w:r>
    </w:p>
    <w:p w14:paraId="266BC926" w14:textId="77777777" w:rsidR="004A2C2C" w:rsidRDefault="004A2C2C" w:rsidP="004A2C2C">
      <w:pPr>
        <w:pStyle w:val="af5"/>
        <w:numPr>
          <w:ilvl w:val="0"/>
          <w:numId w:val="22"/>
        </w:numPr>
        <w:spacing w:before="120"/>
        <w:ind w:left="690" w:hanging="240"/>
        <w:rPr>
          <w:rFonts w:ascii="宋体" w:eastAsia="宋体" w:hAnsi="Times New Roman"/>
          <w:color w:val="000000"/>
        </w:rPr>
      </w:pPr>
      <w:r w:rsidRPr="004A2C2C">
        <w:rPr>
          <w:rFonts w:ascii="宋体" w:eastAsia="宋体" w:hAnsi="Times New Roman" w:hint="eastAsia"/>
          <w:color w:val="000000"/>
        </w:rPr>
        <w:t>朱拉隆功大学，法学学士</w:t>
      </w:r>
    </w:p>
    <w:p w14:paraId="154FF42A" w14:textId="77777777" w:rsidR="004A2C2C" w:rsidRDefault="004A2C2C" w:rsidP="004A2C2C">
      <w:pPr>
        <w:pStyle w:val="af5"/>
        <w:spacing w:after="0" w:line="480" w:lineRule="auto"/>
        <w:rPr>
          <w:rFonts w:ascii="宋体" w:eastAsia="宋体" w:hAnsi="宋体"/>
          <w:b/>
          <w:sz w:val="24"/>
        </w:rPr>
      </w:pPr>
      <w:r w:rsidRPr="004A2C2C">
        <w:rPr>
          <w:rFonts w:ascii="宋体" w:eastAsia="宋体" w:hAnsi="宋体" w:hint="eastAsia"/>
          <w:b/>
          <w:sz w:val="24"/>
        </w:rPr>
        <w:t>执业资格</w:t>
      </w:r>
    </w:p>
    <w:p w14:paraId="3B718D82" w14:textId="77777777" w:rsidR="004A2C2C" w:rsidRDefault="004A2C2C" w:rsidP="004A2C2C">
      <w:pPr>
        <w:pStyle w:val="af5"/>
        <w:numPr>
          <w:ilvl w:val="0"/>
          <w:numId w:val="23"/>
        </w:numPr>
        <w:spacing w:before="120"/>
        <w:ind w:left="690" w:hanging="240"/>
        <w:rPr>
          <w:rFonts w:ascii="宋体" w:eastAsia="宋体" w:hAnsi="Times New Roman"/>
          <w:color w:val="000000"/>
        </w:rPr>
      </w:pPr>
      <w:r w:rsidRPr="004A2C2C">
        <w:rPr>
          <w:rFonts w:ascii="宋体" w:eastAsia="宋体" w:hAnsi="Times New Roman" w:hint="eastAsia"/>
          <w:color w:val="000000"/>
        </w:rPr>
        <w:t>泰国律师执业资格</w:t>
      </w:r>
    </w:p>
    <w:p w14:paraId="1F71882C" w14:textId="77777777" w:rsidR="004A2C2C" w:rsidRDefault="004A2C2C" w:rsidP="004A2C2C">
      <w:pPr>
        <w:pStyle w:val="af5"/>
        <w:spacing w:after="0" w:line="480" w:lineRule="auto"/>
        <w:rPr>
          <w:rFonts w:ascii="宋体" w:eastAsia="宋体" w:hAnsi="宋体"/>
          <w:b/>
          <w:sz w:val="24"/>
        </w:rPr>
      </w:pPr>
      <w:r w:rsidRPr="004A2C2C">
        <w:rPr>
          <w:rFonts w:ascii="宋体" w:eastAsia="宋体" w:hAnsi="宋体" w:hint="eastAsia"/>
          <w:b/>
          <w:sz w:val="24"/>
        </w:rPr>
        <w:t>职业背景</w:t>
      </w:r>
    </w:p>
    <w:p w14:paraId="4F0A196B" w14:textId="48E27B20" w:rsidR="00A46A04" w:rsidRPr="004A2C2C" w:rsidRDefault="004A2C2C" w:rsidP="004A2C2C">
      <w:pPr>
        <w:pStyle w:val="af5"/>
        <w:numPr>
          <w:ilvl w:val="0"/>
          <w:numId w:val="24"/>
        </w:numPr>
        <w:spacing w:before="120"/>
        <w:ind w:left="690" w:hanging="240"/>
        <w:rPr>
          <w:rFonts w:ascii="宋体" w:eastAsia="宋体" w:hAnsi="Times New Roman"/>
          <w:color w:val="000000"/>
        </w:rPr>
      </w:pPr>
      <w:r w:rsidRPr="004A2C2C">
        <w:rPr>
          <w:rFonts w:ascii="宋体" w:eastAsia="宋体" w:hAnsi="Times New Roman" w:hint="eastAsia"/>
          <w:color w:val="000000"/>
        </w:rPr>
        <w:t>在</w:t>
      </w:r>
      <w:r w:rsidRPr="004A2C2C">
        <w:rPr>
          <w:rFonts w:ascii="宋体" w:eastAsia="宋体" w:hAnsi="Times New Roman"/>
          <w:color w:val="000000"/>
        </w:rPr>
        <w:t>2026年加入方达律师事务所之前，Sarun曾在泰国领先的律师事务所拥有10年的执业经验，专注于并购、私募股权以及银行与金融领域。此外，他还曾从事管理咨询工作，为客户提供市场进入战略、资产剥离、重组等方面的建议。</w:t>
      </w:r>
    </w:p>
    <w:sectPr w:rsidR="00A46A04" w:rsidRPr="004A2C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5ED7"/>
    <w:multiLevelType w:val="singleLevel"/>
    <w:tmpl w:val="5A3C02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0B1229"/>
    <w:multiLevelType w:val="singleLevel"/>
    <w:tmpl w:val="FBC8CF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693561"/>
    <w:multiLevelType w:val="singleLevel"/>
    <w:tmpl w:val="28222B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7C78C5"/>
    <w:multiLevelType w:val="singleLevel"/>
    <w:tmpl w:val="673281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012CBF"/>
    <w:multiLevelType w:val="singleLevel"/>
    <w:tmpl w:val="BDA61C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740675"/>
    <w:multiLevelType w:val="singleLevel"/>
    <w:tmpl w:val="CDE66E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1A76DE"/>
    <w:multiLevelType w:val="singleLevel"/>
    <w:tmpl w:val="885CC1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C87811"/>
    <w:multiLevelType w:val="singleLevel"/>
    <w:tmpl w:val="FF5881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0E71A78"/>
    <w:multiLevelType w:val="singleLevel"/>
    <w:tmpl w:val="2C3084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7302DB"/>
    <w:multiLevelType w:val="singleLevel"/>
    <w:tmpl w:val="673281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93424E"/>
    <w:multiLevelType w:val="singleLevel"/>
    <w:tmpl w:val="E1E471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08118FC"/>
    <w:multiLevelType w:val="singleLevel"/>
    <w:tmpl w:val="D05844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873FB0"/>
    <w:multiLevelType w:val="singleLevel"/>
    <w:tmpl w:val="B114B9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1323DA"/>
    <w:multiLevelType w:val="singleLevel"/>
    <w:tmpl w:val="253CF9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FA1B5A"/>
    <w:multiLevelType w:val="singleLevel"/>
    <w:tmpl w:val="E0E8B1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256187"/>
    <w:multiLevelType w:val="singleLevel"/>
    <w:tmpl w:val="BE683C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6B464D"/>
    <w:multiLevelType w:val="singleLevel"/>
    <w:tmpl w:val="A948C3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2C3782"/>
    <w:multiLevelType w:val="singleLevel"/>
    <w:tmpl w:val="31AA8C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F70AE9"/>
    <w:multiLevelType w:val="singleLevel"/>
    <w:tmpl w:val="066A86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1E3993"/>
    <w:multiLevelType w:val="singleLevel"/>
    <w:tmpl w:val="9E547D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1B2DAD"/>
    <w:multiLevelType w:val="singleLevel"/>
    <w:tmpl w:val="4DFAD3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3D3C3F"/>
    <w:multiLevelType w:val="singleLevel"/>
    <w:tmpl w:val="5E16E37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14"/>
  </w:num>
  <w:num w:numId="4">
    <w:abstractNumId w:val="12"/>
  </w:num>
  <w:num w:numId="5">
    <w:abstractNumId w:val="23"/>
  </w:num>
  <w:num w:numId="6">
    <w:abstractNumId w:val="8"/>
  </w:num>
  <w:num w:numId="7">
    <w:abstractNumId w:val="16"/>
  </w:num>
  <w:num w:numId="8">
    <w:abstractNumId w:val="15"/>
  </w:num>
  <w:num w:numId="9">
    <w:abstractNumId w:val="22"/>
  </w:num>
  <w:num w:numId="10">
    <w:abstractNumId w:val="0"/>
  </w:num>
  <w:num w:numId="11">
    <w:abstractNumId w:val="5"/>
  </w:num>
  <w:num w:numId="12">
    <w:abstractNumId w:val="18"/>
  </w:num>
  <w:num w:numId="13">
    <w:abstractNumId w:val="19"/>
  </w:num>
  <w:num w:numId="14">
    <w:abstractNumId w:val="21"/>
  </w:num>
  <w:num w:numId="15">
    <w:abstractNumId w:val="1"/>
  </w:num>
  <w:num w:numId="16">
    <w:abstractNumId w:val="20"/>
  </w:num>
  <w:num w:numId="17">
    <w:abstractNumId w:val="17"/>
  </w:num>
  <w:num w:numId="18">
    <w:abstractNumId w:val="7"/>
  </w:num>
  <w:num w:numId="19">
    <w:abstractNumId w:val="13"/>
  </w:num>
  <w:num w:numId="20">
    <w:abstractNumId w:val="10"/>
  </w:num>
  <w:num w:numId="21">
    <w:abstractNumId w:val="4"/>
  </w:num>
  <w:num w:numId="22">
    <w:abstractNumId w:val="2"/>
  </w:num>
  <w:num w:numId="23">
    <w:abstractNumId w:val="11"/>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A2C2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A2C2C"/>
    <w:pPr>
      <w:spacing w:after="120"/>
    </w:pPr>
  </w:style>
  <w:style w:type="character" w:customStyle="1" w:styleId="af6">
    <w:name w:val="正文文本 字符"/>
    <w:basedOn w:val="a0"/>
    <w:link w:val="af5"/>
    <w:uiPriority w:val="99"/>
    <w:rsid w:val="004A2C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3D87C-AF87-42B4-85AF-EBED70F83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2026-09-05T12:38:00Z</dcterms:created>
  <dcterms:modified xsi:type="dcterms:W3CDTF">2026-09-05T12:38:00Z</dcterms:modified>
</cp:coreProperties>
</file>