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85BE82" w:rsidR="0049405C" w:rsidRPr="00187BAA" w:rsidRDefault="00187026" w:rsidP="00187026">
            <w:pPr>
              <w:spacing w:line="720" w:lineRule="auto"/>
              <w:rPr>
                <w:rFonts w:ascii="宋体" w:eastAsia="宋体" w:hAnsi="宋体"/>
                <w:color w:val="545551"/>
              </w:rPr>
            </w:pPr>
            <w:bookmarkStart w:id="0" w:name="xingming"/>
            <w:bookmarkStart w:id="1" w:name="_GoBack"/>
            <w:bookmarkEnd w:id="1"/>
            <w:r w:rsidRPr="00187026">
              <w:rPr>
                <w:rFonts w:ascii="宋体" w:eastAsia="宋体" w:hAnsi="Times New Roman" w:hint="eastAsia"/>
                <w:b/>
                <w:color w:val="000000"/>
                <w:sz w:val="48"/>
              </w:rPr>
              <w:t>李一民</w:t>
            </w:r>
            <w:bookmarkEnd w:id="0"/>
          </w:p>
          <w:p w14:paraId="706EB16B" w14:textId="58EA688D" w:rsidR="0049405C" w:rsidRPr="00187BAA" w:rsidRDefault="00187026" w:rsidP="00187026">
            <w:pPr>
              <w:spacing w:line="360" w:lineRule="auto"/>
              <w:rPr>
                <w:rFonts w:ascii="宋体" w:eastAsia="宋体" w:hAnsi="宋体"/>
                <w:b/>
                <w:bCs/>
                <w:color w:val="545551"/>
              </w:rPr>
            </w:pPr>
            <w:bookmarkStart w:id="2" w:name="didian"/>
            <w:r w:rsidRPr="00187026">
              <w:rPr>
                <w:rFonts w:ascii="宋体" w:eastAsia="宋体" w:hAnsi="Times New Roman" w:hint="eastAsia"/>
                <w:b/>
                <w:bCs/>
                <w:color w:val="000000"/>
              </w:rPr>
              <w:t>合伙人·香港</w:t>
            </w:r>
            <w:bookmarkEnd w:id="2"/>
          </w:p>
          <w:p w14:paraId="6199424A" w14:textId="33B9D592" w:rsidR="0049405C" w:rsidRPr="00187BAA" w:rsidRDefault="00187026" w:rsidP="00187026">
            <w:pPr>
              <w:spacing w:line="360" w:lineRule="auto"/>
              <w:rPr>
                <w:rFonts w:ascii="宋体" w:eastAsia="宋体" w:hAnsi="宋体"/>
                <w:color w:val="545551"/>
              </w:rPr>
            </w:pPr>
            <w:bookmarkStart w:id="3" w:name="dianhua"/>
            <w:r w:rsidRPr="00187026">
              <w:rPr>
                <w:rFonts w:ascii="宋体" w:eastAsia="宋体" w:hAnsi="Times New Roman"/>
                <w:color w:val="000000"/>
              </w:rPr>
              <w:t xml:space="preserve">+852 3749 1160 </w:t>
            </w:r>
            <w:bookmarkEnd w:id="3"/>
          </w:p>
          <w:p w14:paraId="4F910ACA" w14:textId="7B430E8A" w:rsidR="0049405C" w:rsidRPr="00187BAA" w:rsidRDefault="00187026" w:rsidP="00187026">
            <w:pPr>
              <w:spacing w:line="360" w:lineRule="auto"/>
              <w:rPr>
                <w:rFonts w:ascii="宋体" w:eastAsia="宋体" w:hAnsi="宋体"/>
                <w:color w:val="000000"/>
              </w:rPr>
            </w:pPr>
            <w:bookmarkStart w:id="4" w:name="youxiang"/>
            <w:r w:rsidRPr="00187026">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A7CAE6" w:rsidR="0049405C" w:rsidRPr="00187BAA" w:rsidRDefault="0018702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B1FD8B6" wp14:editId="331A03FE">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91AF6E" w:rsidR="009465FB" w:rsidRPr="00187BAA" w:rsidRDefault="00187026" w:rsidP="007177F3">
            <w:pPr>
              <w:rPr>
                <w:rFonts w:ascii="宋体" w:eastAsia="宋体" w:hAnsi="宋体"/>
                <w:color w:val="000000"/>
                <w:szCs w:val="21"/>
              </w:rPr>
            </w:pPr>
            <w:bookmarkStart w:id="6" w:name="zhiyelingyu"/>
            <w:r w:rsidRPr="00187026">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7F40BE" w14:textId="77777777" w:rsidR="0018702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E9F2D3" w14:textId="77777777" w:rsidR="00187026" w:rsidRDefault="00187026" w:rsidP="00187026">
      <w:pPr>
        <w:pStyle w:val="af5"/>
        <w:spacing w:after="0" w:line="480" w:lineRule="auto"/>
        <w:rPr>
          <w:rFonts w:ascii="宋体" w:eastAsia="宋体" w:hAnsi="宋体"/>
          <w:b/>
          <w:sz w:val="24"/>
        </w:rPr>
      </w:pPr>
      <w:r w:rsidRPr="00187026">
        <w:rPr>
          <w:rFonts w:ascii="宋体" w:eastAsia="宋体" w:hAnsi="宋体" w:hint="eastAsia"/>
          <w:b/>
          <w:sz w:val="24"/>
        </w:rPr>
        <w:t>近期代理的主要案件</w:t>
      </w:r>
    </w:p>
    <w:p w14:paraId="48CFFDF1" w14:textId="77777777" w:rsidR="00187026" w:rsidRDefault="00187026" w:rsidP="00187026">
      <w:pPr>
        <w:pStyle w:val="af5"/>
        <w:spacing w:before="120"/>
        <w:rPr>
          <w:rFonts w:ascii="宋体" w:eastAsia="宋体" w:hAnsi="Times New Roman"/>
          <w:color w:val="000000"/>
        </w:rPr>
      </w:pPr>
      <w:r w:rsidRPr="00187026">
        <w:rPr>
          <w:rFonts w:ascii="宋体" w:eastAsia="宋体" w:hAnsi="Times New Roman" w:hint="eastAsia"/>
          <w:color w:val="000000"/>
        </w:rPr>
        <w:t>企业融资</w:t>
      </w:r>
    </w:p>
    <w:p w14:paraId="3FE829D9" w14:textId="77777777" w:rsidR="00187026" w:rsidRDefault="00187026" w:rsidP="00187026">
      <w:pPr>
        <w:pStyle w:val="af5"/>
        <w:numPr>
          <w:ilvl w:val="0"/>
          <w:numId w:val="4"/>
        </w:numPr>
        <w:spacing w:before="120"/>
        <w:ind w:left="690" w:hanging="240"/>
        <w:rPr>
          <w:rFonts w:ascii="宋体" w:eastAsia="宋体" w:hAnsi="Times New Roman"/>
          <w:color w:val="000000"/>
        </w:rPr>
      </w:pPr>
      <w:r w:rsidRPr="00187026">
        <w:rPr>
          <w:rFonts w:ascii="宋体" w:eastAsia="宋体" w:hAnsi="Times New Roman" w:hint="eastAsia"/>
          <w:color w:val="000000"/>
        </w:rPr>
        <w:t>代表锦欣生殖（港交所股份代号：</w:t>
      </w:r>
      <w:r w:rsidRPr="00187026">
        <w:rPr>
          <w:rFonts w:ascii="宋体" w:eastAsia="宋体" w:hAnsi="Times New Roman"/>
          <w:color w:val="000000"/>
        </w:rPr>
        <w:t>1951）在香港联交所主板约4亿美元的全球发售，联席保荐人为摩根士丹利及中信里昂</w:t>
      </w:r>
    </w:p>
    <w:p w14:paraId="618495E7" w14:textId="77777777" w:rsidR="00187026" w:rsidRDefault="00187026" w:rsidP="00187026">
      <w:pPr>
        <w:pStyle w:val="af5"/>
        <w:numPr>
          <w:ilvl w:val="0"/>
          <w:numId w:val="5"/>
        </w:numPr>
        <w:spacing w:before="120"/>
        <w:ind w:left="690" w:hanging="240"/>
        <w:rPr>
          <w:rFonts w:ascii="宋体" w:eastAsia="宋体" w:hAnsi="Times New Roman"/>
          <w:color w:val="000000"/>
        </w:rPr>
      </w:pPr>
      <w:r w:rsidRPr="00187026">
        <w:rPr>
          <w:rFonts w:ascii="宋体" w:eastAsia="宋体" w:hAnsi="Times New Roman" w:hint="eastAsia"/>
          <w:color w:val="000000"/>
        </w:rPr>
        <w:t>代表作为配售代理的摩根士丹利及华泰金融经办无锡药明康德新药开发股份有限公司（港交所股份代号：</w:t>
      </w:r>
      <w:r w:rsidRPr="00187026">
        <w:rPr>
          <w:rFonts w:ascii="宋体" w:eastAsia="宋体" w:hAnsi="Times New Roman"/>
          <w:color w:val="000000"/>
        </w:rPr>
        <w:t>2359）总值逾70亿港币的拟H股私人配售</w:t>
      </w:r>
    </w:p>
    <w:p w14:paraId="5F5CBCFD" w14:textId="77777777" w:rsidR="00187026" w:rsidRDefault="00187026" w:rsidP="00187026">
      <w:pPr>
        <w:pStyle w:val="af5"/>
        <w:numPr>
          <w:ilvl w:val="0"/>
          <w:numId w:val="6"/>
        </w:numPr>
        <w:spacing w:before="120"/>
        <w:ind w:left="690" w:hanging="240"/>
        <w:rPr>
          <w:rFonts w:ascii="宋体" w:eastAsia="宋体" w:hAnsi="Times New Roman"/>
          <w:color w:val="000000"/>
        </w:rPr>
      </w:pPr>
      <w:r w:rsidRPr="00187026">
        <w:rPr>
          <w:rFonts w:ascii="宋体" w:eastAsia="宋体" w:hAnsi="Times New Roman" w:hint="eastAsia"/>
          <w:color w:val="000000"/>
        </w:rPr>
        <w:t>代表药明生物科技有限公司（港交所股份代号：</w:t>
      </w:r>
      <w:r w:rsidRPr="00187026">
        <w:rPr>
          <w:rFonts w:ascii="宋体" w:eastAsia="宋体" w:hAnsi="Times New Roman"/>
          <w:color w:val="000000"/>
        </w:rPr>
        <w:t>2269）及其控股股东进行一连串新股份及现有股份配售，总值已超越50亿美元</w:t>
      </w:r>
    </w:p>
    <w:p w14:paraId="13263040" w14:textId="77777777" w:rsidR="00187026" w:rsidRDefault="00187026" w:rsidP="00187026">
      <w:pPr>
        <w:pStyle w:val="af5"/>
        <w:numPr>
          <w:ilvl w:val="0"/>
          <w:numId w:val="7"/>
        </w:numPr>
        <w:spacing w:before="120"/>
        <w:ind w:left="690" w:hanging="240"/>
        <w:rPr>
          <w:rFonts w:ascii="宋体" w:eastAsia="宋体" w:hAnsi="Times New Roman"/>
          <w:color w:val="000000"/>
        </w:rPr>
      </w:pPr>
      <w:r w:rsidRPr="00187026">
        <w:rPr>
          <w:rFonts w:ascii="宋体" w:eastAsia="宋体" w:hAnsi="Times New Roman" w:hint="eastAsia"/>
          <w:color w:val="000000"/>
        </w:rPr>
        <w:t>代表作为保荐人与全球协调人的摩根士丹利、华泰金融以及高盛经办无锡药明康德新药开发股份有限公司（港交所股份代号：</w:t>
      </w:r>
      <w:r w:rsidRPr="00187026">
        <w:rPr>
          <w:rFonts w:ascii="宋体" w:eastAsia="宋体" w:hAnsi="Times New Roman"/>
          <w:color w:val="000000"/>
        </w:rPr>
        <w:t>2359）在香港联交所主板10亿美元的全球H股发行</w:t>
      </w:r>
    </w:p>
    <w:p w14:paraId="72B5D8F8" w14:textId="77777777" w:rsidR="00187026" w:rsidRDefault="00187026" w:rsidP="00187026">
      <w:pPr>
        <w:pStyle w:val="af5"/>
        <w:numPr>
          <w:ilvl w:val="0"/>
          <w:numId w:val="8"/>
        </w:numPr>
        <w:spacing w:before="120"/>
        <w:ind w:left="690" w:hanging="240"/>
        <w:rPr>
          <w:rFonts w:ascii="宋体" w:eastAsia="宋体" w:hAnsi="Times New Roman"/>
          <w:color w:val="000000"/>
        </w:rPr>
      </w:pPr>
      <w:r w:rsidRPr="00187026">
        <w:rPr>
          <w:rFonts w:ascii="宋体" w:eastAsia="宋体" w:hAnsi="Times New Roman" w:hint="eastAsia"/>
          <w:color w:val="000000"/>
        </w:rPr>
        <w:t>代表作为保荐人的美林、摩根士丹利和招商证券经办药明生物技术有限公司（港交所股份代号：</w:t>
      </w:r>
      <w:r w:rsidRPr="00187026">
        <w:rPr>
          <w:rFonts w:ascii="宋体" w:eastAsia="宋体" w:hAnsi="Times New Roman"/>
          <w:color w:val="000000"/>
        </w:rPr>
        <w:t>2269）在香港联交所主板约5.10亿美元股份发售及首次公开发行</w:t>
      </w:r>
    </w:p>
    <w:p w14:paraId="5764331F" w14:textId="77777777" w:rsidR="00187026" w:rsidRDefault="00187026" w:rsidP="00187026">
      <w:pPr>
        <w:pStyle w:val="af5"/>
        <w:numPr>
          <w:ilvl w:val="0"/>
          <w:numId w:val="9"/>
        </w:numPr>
        <w:spacing w:before="120"/>
        <w:ind w:left="690" w:hanging="240"/>
        <w:rPr>
          <w:rFonts w:ascii="宋体" w:eastAsia="宋体" w:hAnsi="Times New Roman"/>
          <w:color w:val="000000"/>
        </w:rPr>
      </w:pPr>
      <w:r w:rsidRPr="00187026">
        <w:rPr>
          <w:rFonts w:ascii="宋体" w:eastAsia="宋体" w:hAnsi="Times New Roman" w:hint="eastAsia"/>
          <w:color w:val="000000"/>
        </w:rPr>
        <w:t>代表作为联席保荐人和全球联席协调人的花旗和建银国际经办中国科培教育集团有限公司（港交所股份代号：</w:t>
      </w:r>
      <w:r w:rsidRPr="00187026">
        <w:rPr>
          <w:rFonts w:ascii="宋体" w:eastAsia="宋体" w:hAnsi="Times New Roman"/>
          <w:color w:val="000000"/>
        </w:rPr>
        <w:t>1890）1.13亿美元的全球发行以及在香港联交所主板的首次公开发行</w:t>
      </w:r>
    </w:p>
    <w:p w14:paraId="099A839F" w14:textId="77777777" w:rsidR="00187026" w:rsidRDefault="00187026" w:rsidP="00187026">
      <w:pPr>
        <w:pStyle w:val="af5"/>
        <w:numPr>
          <w:ilvl w:val="0"/>
          <w:numId w:val="10"/>
        </w:numPr>
        <w:spacing w:before="120"/>
        <w:ind w:left="690" w:hanging="240"/>
        <w:rPr>
          <w:rFonts w:ascii="宋体" w:eastAsia="宋体" w:hAnsi="Times New Roman"/>
          <w:color w:val="000000"/>
        </w:rPr>
      </w:pPr>
      <w:r w:rsidRPr="00187026">
        <w:rPr>
          <w:rFonts w:ascii="宋体" w:eastAsia="宋体" w:hAnsi="Times New Roman" w:hint="eastAsia"/>
          <w:color w:val="000000"/>
        </w:rPr>
        <w:t>代表一家成都的国际康健集团，锦欣医疗投资管理集团，经办其</w:t>
      </w:r>
      <w:r w:rsidRPr="00187026">
        <w:rPr>
          <w:rFonts w:ascii="宋体" w:eastAsia="宋体" w:hAnsi="Times New Roman"/>
          <w:color w:val="000000"/>
        </w:rPr>
        <w:t>1.4亿美元的A轮股本融资，资本集团和德福资本为其上市前投资者</w:t>
      </w:r>
    </w:p>
    <w:p w14:paraId="5C5A7834" w14:textId="77777777" w:rsidR="00187026" w:rsidRDefault="00187026" w:rsidP="00187026">
      <w:pPr>
        <w:pStyle w:val="af5"/>
        <w:numPr>
          <w:ilvl w:val="0"/>
          <w:numId w:val="11"/>
        </w:numPr>
        <w:spacing w:before="120"/>
        <w:ind w:left="690" w:hanging="240"/>
        <w:rPr>
          <w:rFonts w:ascii="宋体" w:eastAsia="宋体" w:hAnsi="Times New Roman"/>
          <w:color w:val="000000"/>
        </w:rPr>
      </w:pPr>
      <w:r w:rsidRPr="00187026">
        <w:rPr>
          <w:rFonts w:ascii="宋体" w:eastAsia="宋体" w:hAnsi="Times New Roman" w:hint="eastAsia"/>
          <w:color w:val="000000"/>
        </w:rPr>
        <w:t>代表作为基石投资者的日本富士胶片集团于华润医药集团有限公司（港交所股份代号：</w:t>
      </w:r>
      <w:r w:rsidRPr="00187026">
        <w:rPr>
          <w:rFonts w:ascii="宋体" w:eastAsia="宋体" w:hAnsi="Times New Roman"/>
          <w:color w:val="000000"/>
        </w:rPr>
        <w:t>3320）在香港联交所主板的首次公开发行中进行投资</w:t>
      </w:r>
    </w:p>
    <w:p w14:paraId="29AF9891" w14:textId="77777777" w:rsidR="00187026" w:rsidRDefault="00187026" w:rsidP="00187026">
      <w:pPr>
        <w:pStyle w:val="af5"/>
        <w:numPr>
          <w:ilvl w:val="0"/>
          <w:numId w:val="12"/>
        </w:numPr>
        <w:spacing w:before="120"/>
        <w:ind w:left="690" w:hanging="240"/>
        <w:rPr>
          <w:rFonts w:ascii="宋体" w:eastAsia="宋体" w:hAnsi="Times New Roman"/>
          <w:color w:val="000000"/>
        </w:rPr>
      </w:pPr>
      <w:r w:rsidRPr="00187026">
        <w:rPr>
          <w:rFonts w:ascii="宋体" w:eastAsia="宋体" w:hAnsi="Times New Roman" w:hint="eastAsia"/>
          <w:color w:val="000000"/>
        </w:rPr>
        <w:t>代表一家中国的主要地产发展商为其集团重组和偿还其可交换债券与中信银行协商</w:t>
      </w:r>
      <w:r w:rsidRPr="00187026">
        <w:rPr>
          <w:rFonts w:ascii="宋体" w:eastAsia="宋体" w:hAnsi="Times New Roman"/>
          <w:color w:val="000000"/>
        </w:rPr>
        <w:t>1.75亿美元的银团贷款</w:t>
      </w:r>
    </w:p>
    <w:p w14:paraId="7D1EF7AE" w14:textId="77777777" w:rsidR="00187026" w:rsidRDefault="00187026" w:rsidP="00187026">
      <w:pPr>
        <w:pStyle w:val="af5"/>
        <w:numPr>
          <w:ilvl w:val="0"/>
          <w:numId w:val="13"/>
        </w:numPr>
        <w:spacing w:before="120"/>
        <w:ind w:left="690" w:hanging="240"/>
        <w:rPr>
          <w:rFonts w:ascii="宋体" w:eastAsia="宋体" w:hAnsi="Times New Roman"/>
          <w:color w:val="000000"/>
        </w:rPr>
      </w:pPr>
      <w:r w:rsidRPr="00187026">
        <w:rPr>
          <w:rFonts w:ascii="宋体" w:eastAsia="宋体" w:hAnsi="Times New Roman" w:hint="eastAsia"/>
          <w:color w:val="000000"/>
        </w:rPr>
        <w:t>代表哈罗国际学校及其关联公司为其学校建设与东亚银行和恒生银行协商</w:t>
      </w:r>
      <w:r w:rsidRPr="00187026">
        <w:rPr>
          <w:rFonts w:ascii="宋体" w:eastAsia="宋体" w:hAnsi="Times New Roman"/>
          <w:color w:val="000000"/>
        </w:rPr>
        <w:t>6亿港元的定期</w:t>
      </w:r>
    </w:p>
    <w:p w14:paraId="0C31A7DC" w14:textId="77777777" w:rsidR="00187026" w:rsidRDefault="00187026" w:rsidP="00187026">
      <w:pPr>
        <w:pStyle w:val="af5"/>
        <w:spacing w:before="120"/>
        <w:rPr>
          <w:rFonts w:ascii="宋体" w:eastAsia="宋体" w:hAnsi="Times New Roman"/>
          <w:color w:val="000000"/>
        </w:rPr>
      </w:pPr>
      <w:r w:rsidRPr="00187026">
        <w:rPr>
          <w:rFonts w:ascii="宋体" w:eastAsia="宋体" w:hAnsi="Times New Roman" w:hint="eastAsia"/>
          <w:color w:val="000000"/>
        </w:rPr>
        <w:t>收购</w:t>
      </w:r>
      <w:r w:rsidRPr="00187026">
        <w:rPr>
          <w:rFonts w:ascii="宋体" w:eastAsia="宋体" w:hAnsi="Times New Roman"/>
          <w:color w:val="000000"/>
        </w:rPr>
        <w:t>/并购</w:t>
      </w:r>
    </w:p>
    <w:p w14:paraId="3E27EA60" w14:textId="77777777" w:rsidR="00187026" w:rsidRDefault="00187026" w:rsidP="00187026">
      <w:pPr>
        <w:pStyle w:val="af5"/>
        <w:numPr>
          <w:ilvl w:val="0"/>
          <w:numId w:val="14"/>
        </w:numPr>
        <w:spacing w:before="120"/>
        <w:ind w:left="690" w:hanging="240"/>
        <w:rPr>
          <w:rFonts w:ascii="宋体" w:eastAsia="宋体" w:hAnsi="Times New Roman"/>
          <w:color w:val="000000"/>
        </w:rPr>
      </w:pPr>
      <w:r w:rsidRPr="00187026">
        <w:rPr>
          <w:rFonts w:ascii="宋体" w:eastAsia="宋体" w:hAnsi="Times New Roman" w:hint="eastAsia"/>
          <w:color w:val="000000"/>
        </w:rPr>
        <w:t>代表华晨中国汽车控股有限公司（港交所股份代号：</w:t>
      </w:r>
      <w:r w:rsidRPr="00187026">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5A26B7B8" w14:textId="77777777" w:rsidR="00187026" w:rsidRDefault="00187026" w:rsidP="00187026">
      <w:pPr>
        <w:pStyle w:val="af5"/>
        <w:numPr>
          <w:ilvl w:val="0"/>
          <w:numId w:val="15"/>
        </w:numPr>
        <w:spacing w:before="120"/>
        <w:ind w:left="690" w:hanging="240"/>
        <w:rPr>
          <w:rFonts w:ascii="宋体" w:eastAsia="宋体" w:hAnsi="Times New Roman"/>
          <w:color w:val="000000"/>
        </w:rPr>
      </w:pPr>
      <w:r w:rsidRPr="00187026">
        <w:rPr>
          <w:rFonts w:ascii="宋体" w:eastAsia="宋体" w:hAnsi="Times New Roman" w:hint="eastAsia"/>
          <w:color w:val="000000"/>
        </w:rPr>
        <w:t>代表华晨中国汽车控股有限公司（港交所股份代号：</w:t>
      </w:r>
      <w:r w:rsidRPr="00187026">
        <w:rPr>
          <w:rFonts w:ascii="宋体" w:eastAsia="宋体" w:hAnsi="Times New Roman"/>
          <w:color w:val="000000"/>
        </w:rPr>
        <w:t>1114）与雷诺集团成立一家新的合资企业，其主要业务为于中国生产和销售轻型商业车辆，投资金额总值人民币15亿元</w:t>
      </w:r>
    </w:p>
    <w:p w14:paraId="322C2100" w14:textId="77777777" w:rsidR="00187026" w:rsidRDefault="00187026" w:rsidP="00187026">
      <w:pPr>
        <w:pStyle w:val="af5"/>
        <w:numPr>
          <w:ilvl w:val="0"/>
          <w:numId w:val="16"/>
        </w:numPr>
        <w:spacing w:before="120"/>
        <w:ind w:left="690" w:hanging="240"/>
        <w:rPr>
          <w:rFonts w:ascii="宋体" w:eastAsia="宋体" w:hAnsi="Times New Roman"/>
          <w:color w:val="000000"/>
        </w:rPr>
      </w:pPr>
      <w:r w:rsidRPr="00187026">
        <w:rPr>
          <w:rFonts w:ascii="宋体" w:eastAsia="宋体" w:hAnsi="Times New Roman" w:hint="eastAsia"/>
          <w:color w:val="000000"/>
        </w:rPr>
        <w:t>代表华润医疗控股有限公司（港交所股份代号：</w:t>
      </w:r>
      <w:r w:rsidRPr="00187026">
        <w:rPr>
          <w:rFonts w:ascii="宋体" w:eastAsia="宋体" w:hAnsi="Times New Roman"/>
          <w:color w:val="000000"/>
        </w:rPr>
        <w:t>1515）（前名为凤凰医疗集团）与另一家香港主板上市公司联合医务集团有限公司（港交所股份代号：0722）成立一家合资企业</w:t>
      </w:r>
    </w:p>
    <w:p w14:paraId="7BF62EA3" w14:textId="77777777" w:rsidR="00187026" w:rsidRDefault="00187026" w:rsidP="00187026">
      <w:pPr>
        <w:pStyle w:val="af5"/>
        <w:numPr>
          <w:ilvl w:val="0"/>
          <w:numId w:val="17"/>
        </w:numPr>
        <w:spacing w:before="120"/>
        <w:ind w:left="690" w:hanging="240"/>
        <w:rPr>
          <w:rFonts w:ascii="宋体" w:eastAsia="宋体" w:hAnsi="Times New Roman"/>
          <w:color w:val="000000"/>
        </w:rPr>
      </w:pPr>
      <w:r w:rsidRPr="00187026">
        <w:rPr>
          <w:rFonts w:ascii="宋体" w:eastAsia="宋体" w:hAnsi="Times New Roman" w:hint="eastAsia"/>
          <w:color w:val="000000"/>
        </w:rPr>
        <w:t>代表</w:t>
      </w:r>
      <w:r w:rsidRPr="00187026">
        <w:rPr>
          <w:rFonts w:ascii="宋体" w:eastAsia="宋体" w:hAnsi="Times New Roman"/>
          <w:color w:val="000000"/>
        </w:rPr>
        <w:t>Equinix，作为全球最大的数据中心之一，收购一家香港数据中心以拓展其于亚太区的业务，总值2.3亿美元</w:t>
      </w:r>
    </w:p>
    <w:p w14:paraId="3EF59AD8" w14:textId="77777777" w:rsidR="00187026" w:rsidRDefault="00187026" w:rsidP="00187026">
      <w:pPr>
        <w:pStyle w:val="af5"/>
        <w:spacing w:after="0" w:line="480" w:lineRule="auto"/>
        <w:rPr>
          <w:rFonts w:ascii="宋体" w:eastAsia="宋体" w:hAnsi="宋体"/>
          <w:b/>
          <w:sz w:val="24"/>
        </w:rPr>
      </w:pPr>
      <w:r w:rsidRPr="00187026">
        <w:rPr>
          <w:rFonts w:ascii="宋体" w:eastAsia="宋体" w:hAnsi="宋体" w:hint="eastAsia"/>
          <w:b/>
          <w:sz w:val="24"/>
        </w:rPr>
        <w:t>教育背景</w:t>
      </w:r>
    </w:p>
    <w:p w14:paraId="2E84A066" w14:textId="77777777" w:rsidR="00187026" w:rsidRDefault="00187026" w:rsidP="00187026">
      <w:pPr>
        <w:pStyle w:val="af5"/>
        <w:numPr>
          <w:ilvl w:val="0"/>
          <w:numId w:val="18"/>
        </w:numPr>
        <w:spacing w:before="120"/>
        <w:ind w:left="690" w:hanging="240"/>
        <w:rPr>
          <w:rFonts w:ascii="宋体" w:eastAsia="宋体" w:hAnsi="Times New Roman"/>
          <w:color w:val="000000"/>
        </w:rPr>
      </w:pPr>
      <w:r w:rsidRPr="00187026">
        <w:rPr>
          <w:rFonts w:ascii="宋体" w:eastAsia="宋体" w:hAnsi="Times New Roman" w:hint="eastAsia"/>
          <w:color w:val="000000"/>
        </w:rPr>
        <w:t>香港大学，法学专业证书</w:t>
      </w:r>
      <w:r w:rsidRPr="00187026">
        <w:rPr>
          <w:rFonts w:ascii="宋体" w:eastAsia="宋体" w:hAnsi="Times New Roman"/>
          <w:color w:val="000000"/>
        </w:rPr>
        <w:t xml:space="preserve"> (PCLL)</w:t>
      </w:r>
    </w:p>
    <w:p w14:paraId="6D6E3983" w14:textId="77777777" w:rsidR="00187026" w:rsidRDefault="00187026" w:rsidP="00187026">
      <w:pPr>
        <w:pStyle w:val="af5"/>
        <w:numPr>
          <w:ilvl w:val="0"/>
          <w:numId w:val="19"/>
        </w:numPr>
        <w:spacing w:before="120"/>
        <w:ind w:left="690" w:hanging="240"/>
        <w:rPr>
          <w:rFonts w:ascii="宋体" w:eastAsia="宋体" w:hAnsi="Times New Roman"/>
          <w:color w:val="000000"/>
        </w:rPr>
      </w:pPr>
      <w:r w:rsidRPr="00187026">
        <w:rPr>
          <w:rFonts w:ascii="宋体" w:eastAsia="宋体" w:hAnsi="Times New Roman" w:hint="eastAsia"/>
          <w:color w:val="000000"/>
        </w:rPr>
        <w:t>香港大学，法学学士</w:t>
      </w:r>
    </w:p>
    <w:p w14:paraId="1627A453" w14:textId="77777777" w:rsidR="00187026" w:rsidRDefault="00187026" w:rsidP="00187026">
      <w:pPr>
        <w:pStyle w:val="af5"/>
        <w:spacing w:after="0" w:line="480" w:lineRule="auto"/>
        <w:rPr>
          <w:rFonts w:ascii="宋体" w:eastAsia="宋体" w:hAnsi="宋体"/>
          <w:b/>
          <w:sz w:val="24"/>
        </w:rPr>
      </w:pPr>
      <w:r w:rsidRPr="00187026">
        <w:rPr>
          <w:rFonts w:ascii="宋体" w:eastAsia="宋体" w:hAnsi="宋体" w:hint="eastAsia"/>
          <w:b/>
          <w:sz w:val="24"/>
        </w:rPr>
        <w:t>执业资格</w:t>
      </w:r>
    </w:p>
    <w:p w14:paraId="688B4883" w14:textId="77777777" w:rsidR="00187026" w:rsidRDefault="00187026" w:rsidP="00187026">
      <w:pPr>
        <w:pStyle w:val="af5"/>
        <w:numPr>
          <w:ilvl w:val="0"/>
          <w:numId w:val="20"/>
        </w:numPr>
        <w:spacing w:before="120"/>
        <w:ind w:left="690" w:hanging="240"/>
        <w:rPr>
          <w:rFonts w:ascii="宋体" w:eastAsia="宋体" w:hAnsi="Times New Roman"/>
          <w:color w:val="000000"/>
        </w:rPr>
      </w:pPr>
      <w:r w:rsidRPr="00187026">
        <w:rPr>
          <w:rFonts w:ascii="宋体" w:eastAsia="宋体" w:hAnsi="Times New Roman" w:hint="eastAsia"/>
          <w:color w:val="000000"/>
        </w:rPr>
        <w:t>香港特别行政区执业律师资格</w:t>
      </w:r>
    </w:p>
    <w:p w14:paraId="6DBB930A" w14:textId="77777777" w:rsidR="00187026" w:rsidRDefault="00187026" w:rsidP="00187026">
      <w:pPr>
        <w:pStyle w:val="af5"/>
        <w:spacing w:after="0" w:line="480" w:lineRule="auto"/>
        <w:rPr>
          <w:rFonts w:ascii="宋体" w:eastAsia="宋体" w:hAnsi="宋体"/>
          <w:b/>
          <w:sz w:val="24"/>
        </w:rPr>
      </w:pPr>
      <w:r w:rsidRPr="00187026">
        <w:rPr>
          <w:rFonts w:ascii="宋体" w:eastAsia="宋体" w:hAnsi="宋体" w:hint="eastAsia"/>
          <w:b/>
          <w:sz w:val="24"/>
        </w:rPr>
        <w:t>工作语言</w:t>
      </w:r>
    </w:p>
    <w:p w14:paraId="2BB4BA74" w14:textId="77777777" w:rsidR="00187026" w:rsidRDefault="00187026" w:rsidP="00187026">
      <w:pPr>
        <w:pStyle w:val="af5"/>
        <w:numPr>
          <w:ilvl w:val="0"/>
          <w:numId w:val="21"/>
        </w:numPr>
        <w:spacing w:before="120"/>
        <w:ind w:left="690" w:hanging="240"/>
        <w:rPr>
          <w:rFonts w:ascii="宋体" w:eastAsia="宋体" w:hAnsi="Times New Roman"/>
          <w:color w:val="000000"/>
        </w:rPr>
      </w:pPr>
      <w:r w:rsidRPr="00187026">
        <w:rPr>
          <w:rFonts w:ascii="宋体" w:eastAsia="宋体" w:hAnsi="Times New Roman" w:hint="eastAsia"/>
          <w:color w:val="000000"/>
        </w:rPr>
        <w:t>普通话</w:t>
      </w:r>
    </w:p>
    <w:p w14:paraId="649B19BF" w14:textId="77777777" w:rsidR="00187026" w:rsidRDefault="00187026" w:rsidP="00187026">
      <w:pPr>
        <w:pStyle w:val="af5"/>
        <w:numPr>
          <w:ilvl w:val="0"/>
          <w:numId w:val="22"/>
        </w:numPr>
        <w:spacing w:before="120"/>
        <w:ind w:left="690" w:hanging="240"/>
        <w:rPr>
          <w:rFonts w:ascii="宋体" w:eastAsia="宋体" w:hAnsi="Times New Roman"/>
          <w:color w:val="000000"/>
        </w:rPr>
      </w:pPr>
      <w:r w:rsidRPr="00187026">
        <w:rPr>
          <w:rFonts w:ascii="宋体" w:eastAsia="宋体" w:hAnsi="Times New Roman" w:hint="eastAsia"/>
          <w:color w:val="000000"/>
        </w:rPr>
        <w:t>粤语</w:t>
      </w:r>
    </w:p>
    <w:p w14:paraId="4F0A196B" w14:textId="2D37A4C8" w:rsidR="00A46A04" w:rsidRPr="00187026" w:rsidRDefault="00187026" w:rsidP="00187026">
      <w:pPr>
        <w:pStyle w:val="af5"/>
        <w:numPr>
          <w:ilvl w:val="0"/>
          <w:numId w:val="23"/>
        </w:numPr>
        <w:spacing w:before="120"/>
        <w:ind w:left="690" w:hanging="240"/>
        <w:rPr>
          <w:rFonts w:ascii="宋体" w:eastAsia="宋体" w:hAnsi="Times New Roman"/>
          <w:color w:val="000000"/>
        </w:rPr>
      </w:pPr>
      <w:r w:rsidRPr="00187026">
        <w:rPr>
          <w:rFonts w:ascii="宋体" w:eastAsia="宋体" w:hAnsi="Times New Roman" w:hint="eastAsia"/>
          <w:color w:val="000000"/>
        </w:rPr>
        <w:t>英语</w:t>
      </w:r>
    </w:p>
    <w:sectPr w:rsidR="00A46A04" w:rsidRPr="001870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A65"/>
    <w:multiLevelType w:val="singleLevel"/>
    <w:tmpl w:val="95F8BB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E34D5E"/>
    <w:multiLevelType w:val="singleLevel"/>
    <w:tmpl w:val="23EEAC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AA4CD4"/>
    <w:multiLevelType w:val="singleLevel"/>
    <w:tmpl w:val="67908F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A303A7"/>
    <w:multiLevelType w:val="singleLevel"/>
    <w:tmpl w:val="B50631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7133B"/>
    <w:multiLevelType w:val="singleLevel"/>
    <w:tmpl w:val="CED07E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096A48"/>
    <w:multiLevelType w:val="singleLevel"/>
    <w:tmpl w:val="A252C0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6E00D9"/>
    <w:multiLevelType w:val="singleLevel"/>
    <w:tmpl w:val="2DAA28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E478B7"/>
    <w:multiLevelType w:val="singleLevel"/>
    <w:tmpl w:val="9EB294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6F5A64"/>
    <w:multiLevelType w:val="singleLevel"/>
    <w:tmpl w:val="636211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F9D7FD7"/>
    <w:multiLevelType w:val="singleLevel"/>
    <w:tmpl w:val="E390C5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EC7B85"/>
    <w:multiLevelType w:val="singleLevel"/>
    <w:tmpl w:val="957085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922EA7"/>
    <w:multiLevelType w:val="singleLevel"/>
    <w:tmpl w:val="E24E84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A30B40"/>
    <w:multiLevelType w:val="singleLevel"/>
    <w:tmpl w:val="1ACC54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FC750D"/>
    <w:multiLevelType w:val="singleLevel"/>
    <w:tmpl w:val="3AAA05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D10BE3"/>
    <w:multiLevelType w:val="singleLevel"/>
    <w:tmpl w:val="DB5E2B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F5A1C51"/>
    <w:multiLevelType w:val="singleLevel"/>
    <w:tmpl w:val="72B273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E70445"/>
    <w:multiLevelType w:val="singleLevel"/>
    <w:tmpl w:val="957085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A39317D"/>
    <w:multiLevelType w:val="singleLevel"/>
    <w:tmpl w:val="1B60A1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BF37263"/>
    <w:multiLevelType w:val="singleLevel"/>
    <w:tmpl w:val="9D88F8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EC2C61"/>
    <w:multiLevelType w:val="singleLevel"/>
    <w:tmpl w:val="BAB672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1418E6"/>
    <w:multiLevelType w:val="singleLevel"/>
    <w:tmpl w:val="5D86781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0"/>
  </w:num>
  <w:num w:numId="4">
    <w:abstractNumId w:val="17"/>
  </w:num>
  <w:num w:numId="5">
    <w:abstractNumId w:val="5"/>
  </w:num>
  <w:num w:numId="6">
    <w:abstractNumId w:val="20"/>
  </w:num>
  <w:num w:numId="7">
    <w:abstractNumId w:val="8"/>
  </w:num>
  <w:num w:numId="8">
    <w:abstractNumId w:val="6"/>
  </w:num>
  <w:num w:numId="9">
    <w:abstractNumId w:val="21"/>
  </w:num>
  <w:num w:numId="10">
    <w:abstractNumId w:val="7"/>
  </w:num>
  <w:num w:numId="11">
    <w:abstractNumId w:val="19"/>
  </w:num>
  <w:num w:numId="12">
    <w:abstractNumId w:val="22"/>
  </w:num>
  <w:num w:numId="13">
    <w:abstractNumId w:val="15"/>
  </w:num>
  <w:num w:numId="14">
    <w:abstractNumId w:val="13"/>
  </w:num>
  <w:num w:numId="15">
    <w:abstractNumId w:val="3"/>
  </w:num>
  <w:num w:numId="16">
    <w:abstractNumId w:val="14"/>
  </w:num>
  <w:num w:numId="17">
    <w:abstractNumId w:val="1"/>
  </w:num>
  <w:num w:numId="18">
    <w:abstractNumId w:val="16"/>
  </w:num>
  <w:num w:numId="19">
    <w:abstractNumId w:val="2"/>
  </w:num>
  <w:num w:numId="20">
    <w:abstractNumId w:val="4"/>
  </w:num>
  <w:num w:numId="21">
    <w:abstractNumId w:val="11"/>
  </w:num>
  <w:num w:numId="22">
    <w:abstractNumId w:val="1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026"/>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7026"/>
    <w:pPr>
      <w:spacing w:after="120"/>
    </w:pPr>
  </w:style>
  <w:style w:type="character" w:customStyle="1" w:styleId="af6">
    <w:name w:val="正文文本 字符"/>
    <w:basedOn w:val="a0"/>
    <w:link w:val="af5"/>
    <w:uiPriority w:val="99"/>
    <w:rsid w:val="001870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2683A-EAEC-4210-AF55-950E8A666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2026-09-27T00:32:00Z</dcterms:created>
  <dcterms:modified xsi:type="dcterms:W3CDTF">2026-09-27T00:32:00Z</dcterms:modified>
</cp:coreProperties>
</file>