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28465B" w:rsidR="0049405C" w:rsidRPr="00187BAA" w:rsidRDefault="002D0977" w:rsidP="002D0977">
            <w:pPr>
              <w:spacing w:line="720" w:lineRule="auto"/>
              <w:rPr>
                <w:rFonts w:ascii="宋体" w:eastAsia="宋体" w:hAnsi="宋体"/>
                <w:color w:val="545551"/>
              </w:rPr>
            </w:pPr>
            <w:bookmarkStart w:id="0" w:name="xingming"/>
            <w:bookmarkStart w:id="1" w:name="_GoBack"/>
            <w:bookmarkEnd w:id="1"/>
            <w:r w:rsidRPr="002D0977">
              <w:rPr>
                <w:rFonts w:ascii="宋体" w:eastAsia="宋体" w:hAnsi="Times New Roman" w:hint="eastAsia"/>
                <w:b/>
                <w:color w:val="000000"/>
                <w:sz w:val="48"/>
              </w:rPr>
              <w:t>彭堃豪</w:t>
            </w:r>
            <w:bookmarkEnd w:id="0"/>
          </w:p>
          <w:p w14:paraId="706EB16B" w14:textId="691FC1C3" w:rsidR="0049405C" w:rsidRPr="00187BAA" w:rsidRDefault="002D0977" w:rsidP="002D0977">
            <w:pPr>
              <w:spacing w:line="360" w:lineRule="auto"/>
              <w:rPr>
                <w:rFonts w:ascii="宋体" w:eastAsia="宋体" w:hAnsi="宋体"/>
                <w:b/>
                <w:bCs/>
                <w:color w:val="545551"/>
              </w:rPr>
            </w:pPr>
            <w:bookmarkStart w:id="2" w:name="didian"/>
            <w:r w:rsidRPr="002D0977">
              <w:rPr>
                <w:rFonts w:ascii="宋体" w:eastAsia="宋体" w:hAnsi="Times New Roman" w:hint="eastAsia"/>
                <w:b/>
                <w:bCs/>
                <w:color w:val="000000"/>
              </w:rPr>
              <w:t>合伙人·香港</w:t>
            </w:r>
            <w:bookmarkEnd w:id="2"/>
          </w:p>
          <w:p w14:paraId="6199424A" w14:textId="0259323B" w:rsidR="0049405C" w:rsidRPr="00187BAA" w:rsidRDefault="002D0977" w:rsidP="002D0977">
            <w:pPr>
              <w:spacing w:line="360" w:lineRule="auto"/>
              <w:rPr>
                <w:rFonts w:ascii="宋体" w:eastAsia="宋体" w:hAnsi="宋体"/>
                <w:color w:val="545551"/>
              </w:rPr>
            </w:pPr>
            <w:bookmarkStart w:id="3" w:name="dianhua"/>
            <w:r w:rsidRPr="002D0977">
              <w:rPr>
                <w:rFonts w:ascii="宋体" w:eastAsia="宋体" w:hAnsi="Times New Roman"/>
                <w:color w:val="000000"/>
              </w:rPr>
              <w:t xml:space="preserve">+852 3976 8890 </w:t>
            </w:r>
            <w:bookmarkEnd w:id="3"/>
          </w:p>
          <w:p w14:paraId="4F910ACA" w14:textId="32E8B37D" w:rsidR="0049405C" w:rsidRPr="00187BAA" w:rsidRDefault="002D0977" w:rsidP="002D0977">
            <w:pPr>
              <w:spacing w:line="360" w:lineRule="auto"/>
              <w:rPr>
                <w:rFonts w:ascii="宋体" w:eastAsia="宋体" w:hAnsi="宋体"/>
                <w:color w:val="000000"/>
              </w:rPr>
            </w:pPr>
            <w:bookmarkStart w:id="4" w:name="youxiang"/>
            <w:r w:rsidRPr="002D0977">
              <w:rPr>
                <w:rFonts w:ascii="宋体" w:eastAsia="宋体" w:hAnsi="Times New Roman"/>
                <w:color w:val="000000"/>
              </w:rPr>
              <w:t>arnold.pang@fangdalaw.com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E25098" w:rsidR="0049405C" w:rsidRPr="00187BAA" w:rsidRDefault="002D097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3AC057" wp14:editId="38C5BC7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3A82C7" w:rsidR="009465FB" w:rsidRPr="00187BAA" w:rsidRDefault="002D0977" w:rsidP="007177F3">
            <w:pPr>
              <w:rPr>
                <w:rFonts w:ascii="宋体" w:eastAsia="宋体" w:hAnsi="宋体"/>
                <w:color w:val="000000"/>
                <w:szCs w:val="21"/>
              </w:rPr>
            </w:pPr>
            <w:bookmarkStart w:id="6" w:name="zhiyelingyu"/>
            <w:r w:rsidRPr="002D0977">
              <w:rPr>
                <w:rFonts w:ascii="宋体" w:eastAsia="宋体" w:hAnsi="Times New Roman" w:hint="eastAsia"/>
                <w:color w:val="000000"/>
                <w:szCs w:val="21"/>
              </w:rPr>
              <w:t>彭堃豪律师常驻香港办公室，主要执业领域涉及资本市场、外商投资、企业监管及合规以及并购法律服务事宜。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BE3291" w14:textId="77777777" w:rsidR="002D097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B77818" w14:textId="77777777" w:rsidR="002D0977" w:rsidRDefault="002D0977" w:rsidP="002D0977">
      <w:pPr>
        <w:pStyle w:val="af5"/>
        <w:spacing w:after="0" w:line="480" w:lineRule="auto"/>
        <w:rPr>
          <w:rFonts w:ascii="宋体" w:eastAsia="宋体" w:hAnsi="宋体"/>
          <w:b/>
          <w:sz w:val="24"/>
        </w:rPr>
      </w:pPr>
      <w:r w:rsidRPr="002D0977">
        <w:rPr>
          <w:rFonts w:ascii="宋体" w:eastAsia="宋体" w:hAnsi="宋体" w:hint="eastAsia"/>
          <w:b/>
          <w:sz w:val="24"/>
        </w:rPr>
        <w:t>近期代理的主要案件</w:t>
      </w:r>
    </w:p>
    <w:p w14:paraId="4D6D4D72" w14:textId="77777777" w:rsidR="002D0977" w:rsidRDefault="002D0977" w:rsidP="002D0977">
      <w:pPr>
        <w:pStyle w:val="af5"/>
        <w:spacing w:before="120"/>
        <w:rPr>
          <w:rFonts w:ascii="宋体" w:eastAsia="宋体" w:hAnsi="Times New Roman"/>
          <w:color w:val="000000"/>
        </w:rPr>
      </w:pPr>
    </w:p>
    <w:p w14:paraId="6653BD93" w14:textId="77777777" w:rsidR="002D0977" w:rsidRDefault="002D0977" w:rsidP="002D0977">
      <w:pPr>
        <w:pStyle w:val="af5"/>
        <w:numPr>
          <w:ilvl w:val="0"/>
          <w:numId w:val="4"/>
        </w:numPr>
        <w:spacing w:before="120"/>
        <w:ind w:left="690" w:hanging="240"/>
        <w:rPr>
          <w:rFonts w:ascii="宋体" w:eastAsia="宋体" w:hAnsi="Times New Roman"/>
          <w:color w:val="000000"/>
        </w:rPr>
      </w:pPr>
      <w:r w:rsidRPr="002D0977">
        <w:rPr>
          <w:rFonts w:ascii="宋体" w:eastAsia="宋体" w:hAnsi="Times New Roman" w:hint="eastAsia"/>
          <w:color w:val="000000"/>
        </w:rPr>
        <w:t>代表盛世大联保险代理股份有限公司（股份代号：</w:t>
      </w:r>
      <w:r w:rsidRPr="002D0977">
        <w:rPr>
          <w:rFonts w:ascii="宋体" w:eastAsia="宋体" w:hAnsi="Times New Roman"/>
          <w:color w:val="000000"/>
        </w:rPr>
        <w:t>1879）经办其1.68亿美元拟H股全球发售及其在香港联交所主板上市事宜。盛世大联为新三板挂牌公司，并寻求其H股在香港联交所两地上市。此项发售的承销商为海通国际</w:t>
      </w:r>
    </w:p>
    <w:p w14:paraId="67588A99" w14:textId="77777777" w:rsidR="002D0977" w:rsidRDefault="002D0977" w:rsidP="002D0977">
      <w:pPr>
        <w:pStyle w:val="af5"/>
        <w:numPr>
          <w:ilvl w:val="0"/>
          <w:numId w:val="5"/>
        </w:numPr>
        <w:spacing w:before="120"/>
        <w:ind w:left="690" w:hanging="240"/>
        <w:rPr>
          <w:rFonts w:ascii="宋体" w:eastAsia="宋体" w:hAnsi="Times New Roman"/>
          <w:color w:val="000000"/>
        </w:rPr>
      </w:pPr>
      <w:r w:rsidRPr="002D0977">
        <w:rPr>
          <w:rFonts w:ascii="宋体" w:eastAsia="宋体" w:hAnsi="Times New Roman" w:hint="eastAsia"/>
          <w:color w:val="000000"/>
        </w:rPr>
        <w:t>代表作为其中一名包销商的海通国际经办嘉年华国际控股有限公司（股份代号：</w:t>
      </w:r>
      <w:r w:rsidRPr="002D0977">
        <w:rPr>
          <w:rFonts w:ascii="宋体" w:eastAsia="宋体" w:hAnsi="Times New Roman"/>
          <w:color w:val="000000"/>
        </w:rPr>
        <w:t>996）19亿港元之供股项目</w:t>
      </w:r>
    </w:p>
    <w:p w14:paraId="636A49D0" w14:textId="77777777" w:rsidR="002D0977" w:rsidRDefault="002D0977" w:rsidP="002D0977">
      <w:pPr>
        <w:pStyle w:val="af5"/>
        <w:numPr>
          <w:ilvl w:val="0"/>
          <w:numId w:val="6"/>
        </w:numPr>
        <w:spacing w:before="120"/>
        <w:ind w:left="690" w:hanging="240"/>
        <w:rPr>
          <w:rFonts w:ascii="宋体" w:eastAsia="宋体" w:hAnsi="Times New Roman"/>
          <w:color w:val="000000"/>
        </w:rPr>
      </w:pPr>
      <w:r w:rsidRPr="002D0977">
        <w:rPr>
          <w:rFonts w:ascii="宋体" w:eastAsia="宋体" w:hAnsi="Times New Roman" w:hint="eastAsia"/>
          <w:color w:val="000000"/>
        </w:rPr>
        <w:t>代表金斯瑞生物科技股份有限公司经办其</w:t>
      </w:r>
      <w:r w:rsidRPr="002D0977">
        <w:rPr>
          <w:rFonts w:ascii="宋体" w:eastAsia="宋体" w:hAnsi="Times New Roman"/>
          <w:color w:val="000000"/>
        </w:rPr>
        <w:t>6000万美元的全球发售及其股票在香港联交所主版上市事宜。此项发售的承销商为花旗、瑞银及联昌证劵</w:t>
      </w:r>
    </w:p>
    <w:p w14:paraId="1033E058" w14:textId="77777777" w:rsidR="002D0977" w:rsidRDefault="002D0977" w:rsidP="002D0977">
      <w:pPr>
        <w:pStyle w:val="af5"/>
        <w:numPr>
          <w:ilvl w:val="0"/>
          <w:numId w:val="7"/>
        </w:numPr>
        <w:spacing w:before="120"/>
        <w:ind w:left="690" w:hanging="240"/>
        <w:rPr>
          <w:rFonts w:ascii="宋体" w:eastAsia="宋体" w:hAnsi="Times New Roman"/>
          <w:color w:val="000000"/>
        </w:rPr>
      </w:pPr>
      <w:r w:rsidRPr="002D0977">
        <w:rPr>
          <w:rFonts w:ascii="宋体" w:eastAsia="宋体" w:hAnsi="Times New Roman" w:hint="eastAsia"/>
          <w:color w:val="000000"/>
        </w:rPr>
        <w:t>代表作为其中一名包销商的海通国际经办国鋭地产有限公司（股份代号：</w:t>
      </w:r>
      <w:r w:rsidRPr="002D0977">
        <w:rPr>
          <w:rFonts w:ascii="宋体" w:eastAsia="宋体" w:hAnsi="Times New Roman"/>
          <w:color w:val="000000"/>
        </w:rPr>
        <w:t>108）3.4亿港元之供股项目</w:t>
      </w:r>
    </w:p>
    <w:p w14:paraId="78BDB4D9" w14:textId="77777777" w:rsidR="002D0977" w:rsidRDefault="002D0977" w:rsidP="002D0977">
      <w:pPr>
        <w:pStyle w:val="af5"/>
        <w:numPr>
          <w:ilvl w:val="0"/>
          <w:numId w:val="8"/>
        </w:numPr>
        <w:spacing w:before="120"/>
        <w:ind w:left="690" w:hanging="240"/>
        <w:rPr>
          <w:rFonts w:ascii="宋体" w:eastAsia="宋体" w:hAnsi="Times New Roman"/>
          <w:color w:val="000000"/>
        </w:rPr>
      </w:pPr>
      <w:r w:rsidRPr="002D0977">
        <w:rPr>
          <w:rFonts w:ascii="宋体" w:eastAsia="宋体" w:hAnsi="Times New Roman" w:hint="eastAsia"/>
          <w:color w:val="000000"/>
        </w:rPr>
        <w:t>代表福寿园国际集团有限公司经办其</w:t>
      </w:r>
      <w:r w:rsidRPr="002D0977">
        <w:rPr>
          <w:rFonts w:ascii="宋体" w:eastAsia="宋体" w:hAnsi="Times New Roman"/>
          <w:color w:val="000000"/>
        </w:rPr>
        <w:t>2亿美元的全球发售及其股票在香港联交所主版上市事宜。此项发售的承销商为花旗、瑞银及联昌证劵</w:t>
      </w:r>
    </w:p>
    <w:p w14:paraId="4BFF6AEA" w14:textId="77777777" w:rsidR="002D0977" w:rsidRDefault="002D0977" w:rsidP="002D0977">
      <w:pPr>
        <w:pStyle w:val="af5"/>
        <w:numPr>
          <w:ilvl w:val="0"/>
          <w:numId w:val="9"/>
        </w:numPr>
        <w:spacing w:before="120"/>
        <w:ind w:left="690" w:hanging="240"/>
        <w:rPr>
          <w:rFonts w:ascii="宋体" w:eastAsia="宋体" w:hAnsi="Times New Roman"/>
          <w:color w:val="000000"/>
        </w:rPr>
      </w:pPr>
      <w:r w:rsidRPr="002D0977">
        <w:rPr>
          <w:rFonts w:ascii="宋体" w:eastAsia="宋体" w:hAnsi="Times New Roman" w:hint="eastAsia"/>
          <w:color w:val="000000"/>
        </w:rPr>
        <w:t>代表作为承销商的中银国际亚洲有限公司、招商证券（香港）有限公司、中信建投（国际）证券有限公司（</w:t>
      </w:r>
      <w:r w:rsidRPr="002D0977">
        <w:rPr>
          <w:rFonts w:ascii="宋体" w:eastAsia="宋体" w:hAnsi="Times New Roman"/>
          <w:color w:val="000000"/>
        </w:rPr>
        <w:t>China Securities (International) Brokerage Company Limited）及麦格理资本证券股份有限公司（Macquarie Capital Securities Limited）经办智美控投集团1亿美元股份香港主板主要上市及全球发行的有关事宜</w:t>
      </w:r>
    </w:p>
    <w:p w14:paraId="0D5072F4" w14:textId="77777777" w:rsidR="002D0977" w:rsidRDefault="002D0977" w:rsidP="002D0977">
      <w:pPr>
        <w:pStyle w:val="af5"/>
        <w:numPr>
          <w:ilvl w:val="0"/>
          <w:numId w:val="10"/>
        </w:numPr>
        <w:spacing w:before="120"/>
        <w:ind w:left="690" w:hanging="240"/>
        <w:rPr>
          <w:rFonts w:ascii="宋体" w:eastAsia="宋体" w:hAnsi="Times New Roman"/>
          <w:color w:val="000000"/>
        </w:rPr>
      </w:pPr>
      <w:r w:rsidRPr="002D0977">
        <w:rPr>
          <w:rFonts w:ascii="宋体" w:eastAsia="宋体" w:hAnsi="Times New Roman" w:hint="eastAsia"/>
          <w:color w:val="000000"/>
        </w:rPr>
        <w:t>代表纳斯达克上市的新濠博亚娱乐有限公司经办其以介绍形式在香港联交所主板取得两地第一上市的地位。此项目的联席保荐人为瑞信及德意志</w:t>
      </w:r>
    </w:p>
    <w:p w14:paraId="5920AD68" w14:textId="77777777" w:rsidR="002D0977" w:rsidRDefault="002D0977" w:rsidP="002D0977">
      <w:pPr>
        <w:pStyle w:val="af5"/>
        <w:numPr>
          <w:ilvl w:val="0"/>
          <w:numId w:val="11"/>
        </w:numPr>
        <w:spacing w:before="120"/>
        <w:ind w:left="690" w:hanging="240"/>
        <w:rPr>
          <w:rFonts w:ascii="宋体" w:eastAsia="宋体" w:hAnsi="Times New Roman"/>
          <w:color w:val="000000"/>
        </w:rPr>
      </w:pPr>
      <w:r w:rsidRPr="002D0977">
        <w:rPr>
          <w:rFonts w:ascii="宋体" w:eastAsia="宋体" w:hAnsi="Times New Roman" w:hint="eastAsia"/>
          <w:color w:val="000000"/>
        </w:rPr>
        <w:t>代表由中国国际金融有限公司、高盛、摩根大通、摩根士丹利、中银国际及瑞信牵头的承销商经办中联重工科技发展股份有限公司</w:t>
      </w:r>
      <w:r w:rsidRPr="002D0977">
        <w:rPr>
          <w:rFonts w:ascii="宋体" w:eastAsia="宋体" w:hAnsi="Times New Roman"/>
          <w:color w:val="000000"/>
        </w:rPr>
        <w:t>17亿美元的全球发售及其股票在香港联交所主板上市的事宜</w:t>
      </w:r>
    </w:p>
    <w:p w14:paraId="72B01514" w14:textId="77777777" w:rsidR="002D0977" w:rsidRDefault="002D0977" w:rsidP="002D0977">
      <w:pPr>
        <w:pStyle w:val="af5"/>
        <w:numPr>
          <w:ilvl w:val="0"/>
          <w:numId w:val="12"/>
        </w:numPr>
        <w:spacing w:before="120"/>
        <w:ind w:left="690" w:hanging="240"/>
        <w:rPr>
          <w:rFonts w:ascii="宋体" w:eastAsia="宋体" w:hAnsi="Times New Roman"/>
          <w:color w:val="000000"/>
        </w:rPr>
      </w:pPr>
      <w:r w:rsidRPr="002D0977">
        <w:rPr>
          <w:rFonts w:ascii="宋体" w:eastAsia="宋体" w:hAnsi="Times New Roman" w:hint="eastAsia"/>
          <w:color w:val="000000"/>
        </w:rPr>
        <w:t>代表霸王国际</w:t>
      </w:r>
      <w:r w:rsidRPr="002D0977">
        <w:rPr>
          <w:rFonts w:ascii="宋体" w:eastAsia="宋体" w:hAnsi="Times New Roman"/>
          <w:color w:val="000000"/>
        </w:rPr>
        <w:t>(集团)控股有限公司经办该公司16亿元港币的全球发售及其股票在香港联交所主板上市的事宜。此项发售的承销商为香港上海汇丰银行有限公司和摩根士丹利</w:t>
      </w:r>
    </w:p>
    <w:p w14:paraId="7154F412" w14:textId="77777777" w:rsidR="002D0977" w:rsidRDefault="002D0977" w:rsidP="002D0977">
      <w:pPr>
        <w:pStyle w:val="af5"/>
        <w:numPr>
          <w:ilvl w:val="0"/>
          <w:numId w:val="13"/>
        </w:numPr>
        <w:spacing w:before="120"/>
        <w:ind w:left="690" w:hanging="240"/>
        <w:rPr>
          <w:rFonts w:ascii="宋体" w:eastAsia="宋体" w:hAnsi="Times New Roman"/>
          <w:color w:val="000000"/>
        </w:rPr>
      </w:pPr>
      <w:r w:rsidRPr="002D0977">
        <w:rPr>
          <w:rFonts w:ascii="宋体" w:eastAsia="宋体" w:hAnsi="Times New Roman" w:hint="eastAsia"/>
          <w:color w:val="000000"/>
        </w:rPr>
        <w:t>代表复星国际有限公司经办该公司</w:t>
      </w:r>
      <w:r w:rsidRPr="002D0977">
        <w:rPr>
          <w:rFonts w:ascii="宋体" w:eastAsia="宋体" w:hAnsi="Times New Roman"/>
          <w:color w:val="000000"/>
        </w:rPr>
        <w:t>115亿美元的全球发售及其股票在香港联交所主板上市的事宜。此项发售的承销商为摩根士丹利、瑞银和中国国际金融有限公司</w:t>
      </w:r>
    </w:p>
    <w:p w14:paraId="6FE67C90" w14:textId="77777777" w:rsidR="002D0977" w:rsidRDefault="002D0977" w:rsidP="002D0977">
      <w:pPr>
        <w:pStyle w:val="af5"/>
        <w:spacing w:after="0" w:line="480" w:lineRule="auto"/>
        <w:rPr>
          <w:rFonts w:ascii="宋体" w:eastAsia="宋体" w:hAnsi="宋体"/>
          <w:b/>
          <w:sz w:val="24"/>
        </w:rPr>
      </w:pPr>
      <w:r w:rsidRPr="002D0977">
        <w:rPr>
          <w:rFonts w:ascii="宋体" w:eastAsia="宋体" w:hAnsi="宋体" w:hint="eastAsia"/>
          <w:b/>
          <w:sz w:val="24"/>
        </w:rPr>
        <w:t>教育背景</w:t>
      </w:r>
    </w:p>
    <w:p w14:paraId="0791FE1E" w14:textId="77777777" w:rsidR="002D0977" w:rsidRDefault="002D0977" w:rsidP="002D0977">
      <w:pPr>
        <w:pStyle w:val="af5"/>
        <w:numPr>
          <w:ilvl w:val="0"/>
          <w:numId w:val="14"/>
        </w:numPr>
        <w:spacing w:before="120"/>
        <w:ind w:left="690" w:hanging="240"/>
        <w:rPr>
          <w:rFonts w:ascii="宋体" w:eastAsia="宋体" w:hAnsi="Times New Roman"/>
          <w:color w:val="000000"/>
        </w:rPr>
      </w:pPr>
      <w:r w:rsidRPr="002D0977">
        <w:rPr>
          <w:rFonts w:ascii="宋体" w:eastAsia="宋体" w:hAnsi="Times New Roman" w:hint="eastAsia"/>
          <w:color w:val="000000"/>
        </w:rPr>
        <w:t>文学学士，多伦多大学</w:t>
      </w:r>
    </w:p>
    <w:p w14:paraId="4D81F82B" w14:textId="77777777" w:rsidR="002D0977" w:rsidRDefault="002D0977" w:rsidP="002D0977">
      <w:pPr>
        <w:pStyle w:val="af5"/>
        <w:numPr>
          <w:ilvl w:val="0"/>
          <w:numId w:val="15"/>
        </w:numPr>
        <w:spacing w:before="120"/>
        <w:ind w:left="690" w:hanging="240"/>
        <w:rPr>
          <w:rFonts w:ascii="宋体" w:eastAsia="宋体" w:hAnsi="Times New Roman"/>
          <w:color w:val="000000"/>
        </w:rPr>
      </w:pPr>
      <w:r w:rsidRPr="002D0977">
        <w:rPr>
          <w:rFonts w:ascii="宋体" w:eastAsia="宋体" w:hAnsi="Times New Roman" w:hint="eastAsia"/>
          <w:color w:val="000000"/>
        </w:rPr>
        <w:t>法学学士，香港大学</w:t>
      </w:r>
    </w:p>
    <w:p w14:paraId="622E6904" w14:textId="77777777" w:rsidR="002D0977" w:rsidRDefault="002D0977" w:rsidP="002D0977">
      <w:pPr>
        <w:pStyle w:val="af5"/>
        <w:numPr>
          <w:ilvl w:val="0"/>
          <w:numId w:val="16"/>
        </w:numPr>
        <w:spacing w:before="120"/>
        <w:ind w:left="690" w:hanging="240"/>
        <w:rPr>
          <w:rFonts w:ascii="宋体" w:eastAsia="宋体" w:hAnsi="Times New Roman"/>
          <w:color w:val="000000"/>
        </w:rPr>
      </w:pPr>
      <w:r w:rsidRPr="002D0977">
        <w:rPr>
          <w:rFonts w:ascii="宋体" w:eastAsia="宋体" w:hAnsi="Times New Roman" w:hint="eastAsia"/>
          <w:color w:val="000000"/>
        </w:rPr>
        <w:t>法学研究生文凭，香港大学</w:t>
      </w:r>
    </w:p>
    <w:p w14:paraId="4B0DFA1B" w14:textId="77777777" w:rsidR="002D0977" w:rsidRDefault="002D0977" w:rsidP="002D0977">
      <w:pPr>
        <w:pStyle w:val="af5"/>
        <w:spacing w:after="0" w:line="480" w:lineRule="auto"/>
        <w:rPr>
          <w:rFonts w:ascii="宋体" w:eastAsia="宋体" w:hAnsi="宋体"/>
          <w:b/>
          <w:sz w:val="24"/>
        </w:rPr>
      </w:pPr>
      <w:r w:rsidRPr="002D0977">
        <w:rPr>
          <w:rFonts w:ascii="宋体" w:eastAsia="宋体" w:hAnsi="宋体" w:hint="eastAsia"/>
          <w:b/>
          <w:sz w:val="24"/>
        </w:rPr>
        <w:t>执业资格</w:t>
      </w:r>
    </w:p>
    <w:p w14:paraId="0818DBAC" w14:textId="77777777" w:rsidR="002D0977" w:rsidRDefault="002D0977" w:rsidP="002D0977">
      <w:pPr>
        <w:pStyle w:val="af5"/>
        <w:numPr>
          <w:ilvl w:val="0"/>
          <w:numId w:val="17"/>
        </w:numPr>
        <w:spacing w:before="120"/>
        <w:ind w:left="690" w:hanging="240"/>
        <w:rPr>
          <w:rFonts w:ascii="宋体" w:eastAsia="宋体" w:hAnsi="Times New Roman"/>
          <w:color w:val="000000"/>
        </w:rPr>
      </w:pPr>
      <w:r w:rsidRPr="002D0977">
        <w:rPr>
          <w:rFonts w:ascii="宋体" w:eastAsia="宋体" w:hAnsi="Times New Roman" w:hint="eastAsia"/>
          <w:color w:val="000000"/>
        </w:rPr>
        <w:t>香港特别行政区执业律师资格</w:t>
      </w:r>
    </w:p>
    <w:p w14:paraId="4ABA06A2" w14:textId="77777777" w:rsidR="002D0977" w:rsidRDefault="002D0977" w:rsidP="002D0977">
      <w:pPr>
        <w:pStyle w:val="af5"/>
        <w:spacing w:after="0" w:line="480" w:lineRule="auto"/>
        <w:rPr>
          <w:rFonts w:ascii="宋体" w:eastAsia="宋体" w:hAnsi="宋体"/>
          <w:b/>
          <w:sz w:val="24"/>
        </w:rPr>
      </w:pPr>
      <w:r w:rsidRPr="002D0977">
        <w:rPr>
          <w:rFonts w:ascii="宋体" w:eastAsia="宋体" w:hAnsi="宋体" w:hint="eastAsia"/>
          <w:b/>
          <w:sz w:val="24"/>
        </w:rPr>
        <w:t>工作语言</w:t>
      </w:r>
    </w:p>
    <w:p w14:paraId="1160D7BD" w14:textId="77777777" w:rsidR="002D0977" w:rsidRDefault="002D0977" w:rsidP="002D0977">
      <w:pPr>
        <w:pStyle w:val="af5"/>
        <w:numPr>
          <w:ilvl w:val="0"/>
          <w:numId w:val="18"/>
        </w:numPr>
        <w:spacing w:before="120"/>
        <w:ind w:left="690" w:hanging="240"/>
        <w:rPr>
          <w:rFonts w:ascii="宋体" w:eastAsia="宋体" w:hAnsi="Times New Roman"/>
          <w:color w:val="000000"/>
        </w:rPr>
      </w:pPr>
      <w:r w:rsidRPr="002D0977">
        <w:rPr>
          <w:rFonts w:ascii="宋体" w:eastAsia="宋体" w:hAnsi="Times New Roman" w:hint="eastAsia"/>
          <w:color w:val="000000"/>
        </w:rPr>
        <w:t>普通话</w:t>
      </w:r>
    </w:p>
    <w:p w14:paraId="4FBA2270" w14:textId="77777777" w:rsidR="002D0977" w:rsidRDefault="002D0977" w:rsidP="002D0977">
      <w:pPr>
        <w:pStyle w:val="af5"/>
        <w:numPr>
          <w:ilvl w:val="0"/>
          <w:numId w:val="19"/>
        </w:numPr>
        <w:spacing w:before="120"/>
        <w:ind w:left="690" w:hanging="240"/>
        <w:rPr>
          <w:rFonts w:ascii="宋体" w:eastAsia="宋体" w:hAnsi="Times New Roman"/>
          <w:color w:val="000000"/>
        </w:rPr>
      </w:pPr>
      <w:r w:rsidRPr="002D0977">
        <w:rPr>
          <w:rFonts w:ascii="宋体" w:eastAsia="宋体" w:hAnsi="Times New Roman" w:hint="eastAsia"/>
          <w:color w:val="000000"/>
        </w:rPr>
        <w:t>粤语</w:t>
      </w:r>
    </w:p>
    <w:p w14:paraId="2E8FA321" w14:textId="77777777" w:rsidR="002D0977" w:rsidRDefault="002D0977" w:rsidP="002D0977">
      <w:pPr>
        <w:pStyle w:val="af5"/>
        <w:numPr>
          <w:ilvl w:val="0"/>
          <w:numId w:val="20"/>
        </w:numPr>
        <w:spacing w:before="120"/>
        <w:ind w:left="690" w:hanging="240"/>
        <w:rPr>
          <w:rFonts w:ascii="宋体" w:eastAsia="宋体" w:hAnsi="Times New Roman"/>
          <w:color w:val="000000"/>
        </w:rPr>
      </w:pPr>
      <w:r w:rsidRPr="002D0977">
        <w:rPr>
          <w:rFonts w:ascii="宋体" w:eastAsia="宋体" w:hAnsi="Times New Roman" w:hint="eastAsia"/>
          <w:color w:val="000000"/>
        </w:rPr>
        <w:t>英语</w:t>
      </w:r>
    </w:p>
    <w:p w14:paraId="103393D4" w14:textId="77777777" w:rsidR="002D0977" w:rsidRDefault="002D0977" w:rsidP="002D0977">
      <w:pPr>
        <w:pStyle w:val="af5"/>
        <w:spacing w:after="0" w:line="480" w:lineRule="auto"/>
        <w:rPr>
          <w:rFonts w:ascii="宋体" w:eastAsia="宋体" w:hAnsi="宋体"/>
          <w:b/>
          <w:sz w:val="24"/>
        </w:rPr>
      </w:pPr>
      <w:r w:rsidRPr="002D0977">
        <w:rPr>
          <w:rFonts w:ascii="宋体" w:eastAsia="宋体" w:hAnsi="宋体" w:hint="eastAsia"/>
          <w:b/>
          <w:sz w:val="24"/>
        </w:rPr>
        <w:t>职业背景</w:t>
      </w:r>
    </w:p>
    <w:p w14:paraId="4F0A196B" w14:textId="25BAD647" w:rsidR="00A46A04" w:rsidRPr="002D0977" w:rsidRDefault="002D0977" w:rsidP="002D0977">
      <w:pPr>
        <w:pStyle w:val="af5"/>
        <w:numPr>
          <w:ilvl w:val="0"/>
          <w:numId w:val="21"/>
        </w:numPr>
        <w:spacing w:before="120"/>
        <w:ind w:left="690" w:hanging="240"/>
        <w:rPr>
          <w:rFonts w:ascii="宋体" w:eastAsia="宋体" w:hAnsi="Times New Roman"/>
          <w:color w:val="000000"/>
        </w:rPr>
      </w:pPr>
      <w:r w:rsidRPr="002D0977">
        <w:rPr>
          <w:rFonts w:ascii="宋体" w:eastAsia="宋体" w:hAnsi="Times New Roman" w:hint="eastAsia"/>
          <w:color w:val="000000"/>
        </w:rPr>
        <w:t>在加入方达律师事务所之前，彭律师曾在谢尔曼．思特灵律师事务所及史密夫．斐尔律师事务所两家国际知名律师事务所工作。</w:t>
      </w:r>
    </w:p>
    <w:sectPr w:rsidR="00A46A04" w:rsidRPr="002D09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11054"/>
    <w:multiLevelType w:val="singleLevel"/>
    <w:tmpl w:val="47A631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21275"/>
    <w:multiLevelType w:val="singleLevel"/>
    <w:tmpl w:val="714E3E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171C79"/>
    <w:multiLevelType w:val="singleLevel"/>
    <w:tmpl w:val="3CB09D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0780A"/>
    <w:multiLevelType w:val="singleLevel"/>
    <w:tmpl w:val="533223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9D6D48"/>
    <w:multiLevelType w:val="singleLevel"/>
    <w:tmpl w:val="17764B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DE1B9E"/>
    <w:multiLevelType w:val="singleLevel"/>
    <w:tmpl w:val="41D287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023491"/>
    <w:multiLevelType w:val="singleLevel"/>
    <w:tmpl w:val="7A9C46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B74B1F"/>
    <w:multiLevelType w:val="singleLevel"/>
    <w:tmpl w:val="32FE8F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7B7A8A"/>
    <w:multiLevelType w:val="singleLevel"/>
    <w:tmpl w:val="EDBE48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EA517C"/>
    <w:multiLevelType w:val="singleLevel"/>
    <w:tmpl w:val="17764B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3654A3"/>
    <w:multiLevelType w:val="singleLevel"/>
    <w:tmpl w:val="907C49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9C1F0D"/>
    <w:multiLevelType w:val="singleLevel"/>
    <w:tmpl w:val="369A2A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0750914"/>
    <w:multiLevelType w:val="singleLevel"/>
    <w:tmpl w:val="C10216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811A39"/>
    <w:multiLevelType w:val="singleLevel"/>
    <w:tmpl w:val="590800B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DD1BD1"/>
    <w:multiLevelType w:val="singleLevel"/>
    <w:tmpl w:val="DCA645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B95D85"/>
    <w:multiLevelType w:val="singleLevel"/>
    <w:tmpl w:val="D548A1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EA5BAD"/>
    <w:multiLevelType w:val="singleLevel"/>
    <w:tmpl w:val="6CD479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0A579B"/>
    <w:multiLevelType w:val="singleLevel"/>
    <w:tmpl w:val="614875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FFA65E7"/>
    <w:multiLevelType w:val="singleLevel"/>
    <w:tmpl w:val="F1748C9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1"/>
  </w:num>
  <w:num w:numId="4">
    <w:abstractNumId w:val="20"/>
  </w:num>
  <w:num w:numId="5">
    <w:abstractNumId w:val="7"/>
  </w:num>
  <w:num w:numId="6">
    <w:abstractNumId w:val="3"/>
  </w:num>
  <w:num w:numId="7">
    <w:abstractNumId w:val="14"/>
  </w:num>
  <w:num w:numId="8">
    <w:abstractNumId w:val="19"/>
  </w:num>
  <w:num w:numId="9">
    <w:abstractNumId w:val="17"/>
  </w:num>
  <w:num w:numId="10">
    <w:abstractNumId w:val="2"/>
  </w:num>
  <w:num w:numId="11">
    <w:abstractNumId w:val="15"/>
  </w:num>
  <w:num w:numId="12">
    <w:abstractNumId w:val="16"/>
  </w:num>
  <w:num w:numId="13">
    <w:abstractNumId w:val="5"/>
  </w:num>
  <w:num w:numId="14">
    <w:abstractNumId w:val="1"/>
  </w:num>
  <w:num w:numId="15">
    <w:abstractNumId w:val="0"/>
  </w:num>
  <w:num w:numId="16">
    <w:abstractNumId w:val="18"/>
  </w:num>
  <w:num w:numId="17">
    <w:abstractNumId w:val="8"/>
  </w:num>
  <w:num w:numId="18">
    <w:abstractNumId w:val="12"/>
  </w:num>
  <w:num w:numId="19">
    <w:abstractNumId w:val="6"/>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0977"/>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0977"/>
    <w:pPr>
      <w:spacing w:after="120"/>
    </w:pPr>
  </w:style>
  <w:style w:type="character" w:customStyle="1" w:styleId="af6">
    <w:name w:val="正文文本 字符"/>
    <w:basedOn w:val="a0"/>
    <w:link w:val="af5"/>
    <w:uiPriority w:val="99"/>
    <w:rsid w:val="002D09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98534-66F9-4ADE-9C96-A31CC3ECC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