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8DFF6B1" w:rsidR="0049405C" w:rsidRPr="00187BAA" w:rsidRDefault="00355B39" w:rsidP="00355B39">
            <w:pPr>
              <w:spacing w:line="720" w:lineRule="auto"/>
              <w:rPr>
                <w:rFonts w:ascii="宋体" w:eastAsia="宋体" w:hAnsi="宋体"/>
                <w:color w:val="545551"/>
              </w:rPr>
            </w:pPr>
            <w:bookmarkStart w:id="0" w:name="xingming"/>
            <w:bookmarkStart w:id="1" w:name="_GoBack"/>
            <w:bookmarkEnd w:id="1"/>
            <w:r w:rsidRPr="00355B39">
              <w:rPr>
                <w:rFonts w:ascii="宋体" w:eastAsia="宋体" w:hAnsi="Times New Roman" w:hint="eastAsia"/>
                <w:b/>
                <w:color w:val="000000"/>
                <w:sz w:val="48"/>
              </w:rPr>
              <w:t>孙林</w:t>
            </w:r>
            <w:bookmarkEnd w:id="0"/>
          </w:p>
          <w:p w14:paraId="706EB16B" w14:textId="2307C4A9" w:rsidR="0049405C" w:rsidRPr="00187BAA" w:rsidRDefault="00355B39" w:rsidP="00355B39">
            <w:pPr>
              <w:spacing w:line="360" w:lineRule="auto"/>
              <w:rPr>
                <w:rFonts w:ascii="宋体" w:eastAsia="宋体" w:hAnsi="宋体"/>
                <w:b/>
                <w:bCs/>
                <w:color w:val="545551"/>
              </w:rPr>
            </w:pPr>
            <w:bookmarkStart w:id="2" w:name="didian"/>
            <w:r w:rsidRPr="00355B39">
              <w:rPr>
                <w:rFonts w:ascii="宋体" w:eastAsia="宋体" w:hAnsi="Times New Roman" w:hint="eastAsia"/>
                <w:b/>
                <w:bCs/>
                <w:color w:val="000000"/>
              </w:rPr>
              <w:t>合伙人·上海</w:t>
            </w:r>
            <w:bookmarkEnd w:id="2"/>
          </w:p>
          <w:p w14:paraId="6199424A" w14:textId="7C10517F" w:rsidR="0049405C" w:rsidRPr="00187BAA" w:rsidRDefault="00355B39" w:rsidP="00355B39">
            <w:pPr>
              <w:spacing w:line="360" w:lineRule="auto"/>
              <w:rPr>
                <w:rFonts w:ascii="宋体" w:eastAsia="宋体" w:hAnsi="宋体"/>
                <w:color w:val="545551"/>
              </w:rPr>
            </w:pPr>
            <w:bookmarkStart w:id="3" w:name="dianhua"/>
            <w:r w:rsidRPr="00355B39">
              <w:rPr>
                <w:rFonts w:ascii="宋体" w:eastAsia="宋体" w:hAnsi="Times New Roman"/>
                <w:color w:val="000000"/>
              </w:rPr>
              <w:t xml:space="preserve">+86 21 2208 1024 </w:t>
            </w:r>
            <w:bookmarkEnd w:id="3"/>
          </w:p>
          <w:p w14:paraId="4F910ACA" w14:textId="191367A1" w:rsidR="0049405C" w:rsidRPr="00187BAA" w:rsidRDefault="00355B39" w:rsidP="00355B39">
            <w:pPr>
              <w:spacing w:line="360" w:lineRule="auto"/>
              <w:rPr>
                <w:rFonts w:ascii="宋体" w:eastAsia="宋体" w:hAnsi="宋体"/>
                <w:color w:val="000000"/>
              </w:rPr>
            </w:pPr>
            <w:bookmarkStart w:id="4" w:name="youxiang"/>
            <w:r w:rsidRPr="00355B39">
              <w:rPr>
                <w:rFonts w:ascii="宋体" w:eastAsia="宋体" w:hAnsi="Times New Roman"/>
                <w:color w:val="000000"/>
              </w:rPr>
              <w:t>chuck.sun@fangdalaw.com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6622931" w:rsidR="0049405C" w:rsidRPr="00187BAA" w:rsidRDefault="00355B3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ED32733" wp14:editId="7B8C00C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87B53F2" w:rsidR="009465FB" w:rsidRPr="00187BAA" w:rsidRDefault="00355B39" w:rsidP="007177F3">
            <w:pPr>
              <w:rPr>
                <w:rFonts w:ascii="宋体" w:eastAsia="宋体" w:hAnsi="宋体"/>
                <w:color w:val="000000"/>
                <w:szCs w:val="21"/>
              </w:rPr>
            </w:pPr>
            <w:bookmarkStart w:id="6" w:name="zhiyelingyu"/>
            <w:r w:rsidRPr="00355B39">
              <w:rPr>
                <w:rFonts w:ascii="宋体" w:eastAsia="宋体" w:hAnsi="Times New Roman" w:hint="eastAsia"/>
                <w:color w:val="000000"/>
                <w:szCs w:val="21"/>
              </w:rPr>
              <w:t>孙林律师的主要执业领域包括公司并购、中国企业海外投资、私募股权和风险投资、外商直接投资及公司融资等。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FE948C6" w14:textId="77777777" w:rsidR="00355B3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29593F8" w14:textId="77777777" w:rsidR="00355B39" w:rsidRDefault="00355B39" w:rsidP="00355B39">
      <w:pPr>
        <w:pStyle w:val="af5"/>
        <w:spacing w:after="0" w:line="480" w:lineRule="auto"/>
        <w:rPr>
          <w:rFonts w:ascii="宋体" w:eastAsia="宋体" w:hAnsi="宋体"/>
          <w:b/>
          <w:sz w:val="24"/>
        </w:rPr>
      </w:pPr>
      <w:r w:rsidRPr="00355B39">
        <w:rPr>
          <w:rFonts w:ascii="宋体" w:eastAsia="宋体" w:hAnsi="宋体" w:hint="eastAsia"/>
          <w:b/>
          <w:sz w:val="24"/>
        </w:rPr>
        <w:t>近期代理的主要案件</w:t>
      </w:r>
    </w:p>
    <w:p w14:paraId="28626097" w14:textId="77777777" w:rsidR="00355B39" w:rsidRDefault="00355B39" w:rsidP="00355B39">
      <w:pPr>
        <w:pStyle w:val="af5"/>
        <w:spacing w:before="120"/>
        <w:rPr>
          <w:rFonts w:ascii="宋体" w:eastAsia="宋体" w:hAnsi="Times New Roman"/>
          <w:color w:val="000000"/>
        </w:rPr>
      </w:pPr>
      <w:r w:rsidRPr="00355B39">
        <w:rPr>
          <w:rFonts w:ascii="宋体" w:eastAsia="宋体" w:hAnsi="Times New Roman" w:hint="eastAsia"/>
          <w:color w:val="000000"/>
        </w:rPr>
        <w:t>境外直投投资（涉及半导体、可再生能源（碳中和）、汽车零部件等领域）</w:t>
      </w:r>
    </w:p>
    <w:p w14:paraId="2A9DD2B6" w14:textId="77777777" w:rsidR="00355B39" w:rsidRDefault="00355B39" w:rsidP="00355B39">
      <w:pPr>
        <w:pStyle w:val="af5"/>
        <w:numPr>
          <w:ilvl w:val="0"/>
          <w:numId w:val="4"/>
        </w:numPr>
        <w:spacing w:before="120"/>
        <w:ind w:left="690" w:hanging="240"/>
        <w:rPr>
          <w:rFonts w:ascii="宋体" w:eastAsia="宋体" w:hAnsi="Times New Roman"/>
          <w:color w:val="000000"/>
        </w:rPr>
      </w:pPr>
      <w:r w:rsidRPr="00355B39">
        <w:rPr>
          <w:rFonts w:ascii="宋体" w:eastAsia="宋体" w:hAnsi="Times New Roman" w:hint="eastAsia"/>
          <w:color w:val="000000"/>
        </w:rPr>
        <w:t>代表万业企业（</w:t>
      </w:r>
      <w:r w:rsidRPr="00355B39">
        <w:rPr>
          <w:rFonts w:ascii="宋体" w:eastAsia="宋体" w:hAnsi="Times New Roman"/>
          <w:color w:val="000000"/>
        </w:rPr>
        <w:t>SSE: 600641）牵头组成的财团以约3.98亿美元的价格向铂金资本（ Platinum Equity ）全资收购了Compart Systems Pte. Ltd.（一家总部位于新加坡并主要在中国和马来西亚设有工厂、全球领先的气体输送系统领域供应商，也是全球少数可完成该领域零组件精密加工全部环节的公司）；</w:t>
      </w:r>
    </w:p>
    <w:p w14:paraId="08D94046" w14:textId="77777777" w:rsidR="00355B39" w:rsidRDefault="00355B39" w:rsidP="00355B39">
      <w:pPr>
        <w:pStyle w:val="af5"/>
        <w:numPr>
          <w:ilvl w:val="0"/>
          <w:numId w:val="5"/>
        </w:numPr>
        <w:spacing w:before="120"/>
        <w:ind w:left="690" w:hanging="240"/>
        <w:rPr>
          <w:rFonts w:ascii="宋体" w:eastAsia="宋体" w:hAnsi="Times New Roman"/>
          <w:color w:val="000000"/>
        </w:rPr>
      </w:pPr>
      <w:r w:rsidRPr="00355B39">
        <w:rPr>
          <w:rFonts w:ascii="宋体" w:eastAsia="宋体" w:hAnsi="Times New Roman" w:hint="eastAsia"/>
          <w:color w:val="000000"/>
        </w:rPr>
        <w:t>代表远景集团为首的买方财团，完成对日本日产公司</w:t>
      </w:r>
      <w:r w:rsidRPr="00355B39">
        <w:rPr>
          <w:rFonts w:ascii="宋体" w:eastAsia="宋体" w:hAnsi="Times New Roman"/>
          <w:color w:val="000000"/>
        </w:rPr>
        <w:t>75%动力电池业务和资产（遍布日本、英国和美国）和对日本电气股份有限公司日本全资子公司NECED的同时杠杆收购，与日产设立合资企业Envision AESC，并协助Envision AESC完成对春华资本、远景集团和红杉资本的融资；</w:t>
      </w:r>
    </w:p>
    <w:p w14:paraId="1AAA4A4A" w14:textId="77777777" w:rsidR="00355B39" w:rsidRDefault="00355B39" w:rsidP="00355B39">
      <w:pPr>
        <w:pStyle w:val="af5"/>
        <w:numPr>
          <w:ilvl w:val="0"/>
          <w:numId w:val="6"/>
        </w:numPr>
        <w:spacing w:before="120"/>
        <w:ind w:left="690" w:hanging="240"/>
        <w:rPr>
          <w:rFonts w:ascii="宋体" w:eastAsia="宋体" w:hAnsi="Times New Roman"/>
          <w:color w:val="000000"/>
        </w:rPr>
      </w:pPr>
      <w:r w:rsidRPr="00355B39">
        <w:rPr>
          <w:rFonts w:ascii="宋体" w:eastAsia="宋体" w:hAnsi="Times New Roman" w:hint="eastAsia"/>
          <w:color w:val="000000"/>
        </w:rPr>
        <w:t>代表威孚高科（</w:t>
      </w:r>
      <w:r w:rsidRPr="00355B39">
        <w:rPr>
          <w:rFonts w:ascii="宋体" w:eastAsia="宋体" w:hAnsi="Times New Roman"/>
          <w:color w:val="000000"/>
        </w:rPr>
        <w:t>SZSE: 000581），以约6,000万欧元的价格，通过向Robert Bosch S.p.A. Societ</w:t>
      </w:r>
      <w:r w:rsidRPr="00355B39">
        <w:rPr>
          <w:rFonts w:ascii="宋体" w:eastAsia="宋体" w:hAnsi="Times New Roman"/>
          <w:color w:val="000000"/>
        </w:rPr>
        <w:t>à</w:t>
      </w:r>
      <w:r w:rsidRPr="00355B39">
        <w:rPr>
          <w:rFonts w:ascii="宋体" w:eastAsia="宋体" w:hAnsi="Times New Roman"/>
          <w:color w:val="000000"/>
        </w:rPr>
        <w:t xml:space="preserve"> Unipersonale收购VHIT S.p.A. Societ</w:t>
      </w:r>
      <w:r w:rsidRPr="00355B39">
        <w:rPr>
          <w:rFonts w:ascii="宋体" w:eastAsia="宋体" w:hAnsi="Times New Roman"/>
          <w:color w:val="000000"/>
        </w:rPr>
        <w:t>à</w:t>
      </w:r>
      <w:r w:rsidRPr="00355B39">
        <w:rPr>
          <w:rFonts w:ascii="宋体" w:eastAsia="宋体" w:hAnsi="Times New Roman"/>
          <w:color w:val="000000"/>
        </w:rPr>
        <w:t xml:space="preserve"> Unipersonale（及其全资中国子公司意沃汽车系统（无锡）有限公司）100%股权的方式，向博世集团整体收购了其在意大利和中国的真空和液压泵业务。</w:t>
      </w:r>
    </w:p>
    <w:p w14:paraId="622F874B" w14:textId="77777777" w:rsidR="00355B39" w:rsidRDefault="00355B39" w:rsidP="00355B39">
      <w:pPr>
        <w:pStyle w:val="af5"/>
        <w:spacing w:before="120"/>
        <w:rPr>
          <w:rFonts w:ascii="宋体" w:eastAsia="宋体" w:hAnsi="Times New Roman"/>
          <w:color w:val="000000"/>
        </w:rPr>
      </w:pPr>
      <w:r w:rsidRPr="00355B39">
        <w:rPr>
          <w:rFonts w:ascii="宋体" w:eastAsia="宋体" w:hAnsi="Times New Roman" w:hint="eastAsia"/>
          <w:color w:val="000000"/>
        </w:rPr>
        <w:t>并购、合资和投资（涉及交互式娱乐、汽车零部件、消费、半导体、物流和大健康等领域）</w:t>
      </w:r>
    </w:p>
    <w:p w14:paraId="43D40B30" w14:textId="77777777" w:rsidR="00355B39" w:rsidRDefault="00355B39" w:rsidP="00355B39">
      <w:pPr>
        <w:pStyle w:val="af5"/>
        <w:numPr>
          <w:ilvl w:val="0"/>
          <w:numId w:val="7"/>
        </w:numPr>
        <w:spacing w:before="120"/>
        <w:ind w:left="690" w:hanging="240"/>
        <w:rPr>
          <w:rFonts w:ascii="宋体" w:eastAsia="宋体" w:hAnsi="Times New Roman"/>
          <w:color w:val="000000"/>
        </w:rPr>
      </w:pPr>
      <w:r w:rsidRPr="00355B39">
        <w:rPr>
          <w:rFonts w:ascii="宋体" w:eastAsia="宋体" w:hAnsi="Times New Roman" w:hint="eastAsia"/>
          <w:color w:val="000000"/>
        </w:rPr>
        <w:t>代表</w:t>
      </w:r>
      <w:r w:rsidRPr="00355B39">
        <w:rPr>
          <w:rFonts w:ascii="宋体" w:eastAsia="宋体" w:hAnsi="Times New Roman"/>
          <w:color w:val="000000"/>
        </w:rPr>
        <w:t>Zynga Inc. (已被Take-Two (NASDAQ: TTWO)收购)，一家互动娱乐行业的全球领先企业，作为其中国法律顾问协助其从贝塔游戏公司（Betta Games）处全资收购云雀星耀（系一款高速发展且目前已成为全球第二大高尔夫类手机游戏，即Golf Rival的开发商），涉及交易总对价约为5.25亿美元（含现金及股票）；</w:t>
      </w:r>
    </w:p>
    <w:p w14:paraId="3EA043C4" w14:textId="77777777" w:rsidR="00355B39" w:rsidRDefault="00355B39" w:rsidP="00355B39">
      <w:pPr>
        <w:pStyle w:val="af5"/>
        <w:numPr>
          <w:ilvl w:val="0"/>
          <w:numId w:val="8"/>
        </w:numPr>
        <w:spacing w:before="120"/>
        <w:ind w:left="690" w:hanging="240"/>
        <w:rPr>
          <w:rFonts w:ascii="宋体" w:eastAsia="宋体" w:hAnsi="Times New Roman"/>
          <w:color w:val="000000"/>
        </w:rPr>
      </w:pPr>
      <w:r w:rsidRPr="00355B39">
        <w:rPr>
          <w:rFonts w:ascii="宋体" w:eastAsia="宋体" w:hAnsi="Times New Roman" w:hint="eastAsia"/>
          <w:color w:val="000000"/>
        </w:rPr>
        <w:t>代表威孚高科（</w:t>
      </w:r>
      <w:r w:rsidRPr="00355B39">
        <w:rPr>
          <w:rFonts w:ascii="宋体" w:eastAsia="宋体" w:hAnsi="Times New Roman"/>
          <w:color w:val="000000"/>
        </w:rPr>
        <w:t>SZSE: 000581）与博世力士乐（Bosch Rexroth）在液压领域成立合资公司，总投资规模达人民币4.4亿元；</w:t>
      </w:r>
    </w:p>
    <w:p w14:paraId="1629AED1" w14:textId="77777777" w:rsidR="00355B39" w:rsidRDefault="00355B39" w:rsidP="00355B39">
      <w:pPr>
        <w:pStyle w:val="af5"/>
        <w:numPr>
          <w:ilvl w:val="0"/>
          <w:numId w:val="9"/>
        </w:numPr>
        <w:spacing w:before="120"/>
        <w:ind w:left="690" w:hanging="240"/>
        <w:rPr>
          <w:rFonts w:ascii="宋体" w:eastAsia="宋体" w:hAnsi="Times New Roman"/>
          <w:color w:val="000000"/>
        </w:rPr>
      </w:pPr>
      <w:r w:rsidRPr="00355B39">
        <w:rPr>
          <w:rFonts w:ascii="宋体" w:eastAsia="宋体" w:hAnsi="Times New Roman" w:hint="eastAsia"/>
          <w:color w:val="000000"/>
        </w:rPr>
        <w:t>代表奈雪的茶（</w:t>
      </w:r>
      <w:r w:rsidRPr="00355B39">
        <w:rPr>
          <w:rFonts w:ascii="宋体" w:eastAsia="宋体" w:hAnsi="Times New Roman"/>
          <w:color w:val="000000"/>
        </w:rPr>
        <w:t>HKEX:2150）以人民币5.25亿元收购乐乐茶多数股权；</w:t>
      </w:r>
    </w:p>
    <w:p w14:paraId="5D2192C8" w14:textId="77777777" w:rsidR="00355B39" w:rsidRDefault="00355B39" w:rsidP="00355B39">
      <w:pPr>
        <w:pStyle w:val="af5"/>
        <w:numPr>
          <w:ilvl w:val="0"/>
          <w:numId w:val="10"/>
        </w:numPr>
        <w:spacing w:before="120"/>
        <w:ind w:left="690" w:hanging="240"/>
        <w:rPr>
          <w:rFonts w:ascii="宋体" w:eastAsia="宋体" w:hAnsi="Times New Roman"/>
          <w:color w:val="000000"/>
        </w:rPr>
      </w:pPr>
      <w:r w:rsidRPr="00355B39">
        <w:rPr>
          <w:rFonts w:ascii="宋体" w:eastAsia="宋体" w:hAnsi="Times New Roman" w:hint="eastAsia"/>
          <w:color w:val="000000"/>
        </w:rPr>
        <w:t>代表荷兰皇家菲仕兰（</w:t>
      </w:r>
      <w:r w:rsidRPr="00355B39">
        <w:rPr>
          <w:rFonts w:ascii="宋体" w:eastAsia="宋体" w:hAnsi="Times New Roman"/>
          <w:color w:val="000000"/>
        </w:rPr>
        <w:t>Royal FrieslandCampina）向伊利（SSE：600887）出售</w:t>
      </w:r>
      <w:r w:rsidRPr="00355B39">
        <w:rPr>
          <w:rFonts w:ascii="宋体" w:eastAsia="宋体" w:hAnsi="Times New Roman"/>
          <w:color w:val="000000"/>
        </w:rPr>
        <w:t>“</w:t>
      </w:r>
      <w:r w:rsidRPr="00355B39">
        <w:rPr>
          <w:rFonts w:ascii="宋体" w:eastAsia="宋体" w:hAnsi="Times New Roman"/>
          <w:color w:val="000000"/>
        </w:rPr>
        <w:t>子母</w:t>
      </w:r>
      <w:r w:rsidRPr="00355B39">
        <w:rPr>
          <w:rFonts w:ascii="宋体" w:eastAsia="宋体" w:hAnsi="Times New Roman"/>
          <w:color w:val="000000"/>
        </w:rPr>
        <w:t>”</w:t>
      </w:r>
      <w:r w:rsidRPr="00355B39">
        <w:rPr>
          <w:rFonts w:ascii="宋体" w:eastAsia="宋体" w:hAnsi="Times New Roman"/>
          <w:color w:val="000000"/>
        </w:rPr>
        <w:t>品牌婴儿配方奶粉和幼儿营养产品工厂；</w:t>
      </w:r>
    </w:p>
    <w:p w14:paraId="7B4EAF8E" w14:textId="77777777" w:rsidR="00355B39" w:rsidRDefault="00355B39" w:rsidP="00355B39">
      <w:pPr>
        <w:pStyle w:val="af5"/>
        <w:numPr>
          <w:ilvl w:val="0"/>
          <w:numId w:val="11"/>
        </w:numPr>
        <w:spacing w:before="120"/>
        <w:ind w:left="690" w:hanging="240"/>
        <w:rPr>
          <w:rFonts w:ascii="宋体" w:eastAsia="宋体" w:hAnsi="Times New Roman"/>
          <w:color w:val="000000"/>
        </w:rPr>
      </w:pPr>
      <w:r w:rsidRPr="00355B39">
        <w:rPr>
          <w:rFonts w:ascii="宋体" w:eastAsia="宋体" w:hAnsi="Times New Roman" w:hint="eastAsia"/>
          <w:color w:val="000000"/>
        </w:rPr>
        <w:t>代表朗盛（</w:t>
      </w:r>
      <w:r w:rsidRPr="00355B39">
        <w:rPr>
          <w:rFonts w:ascii="宋体" w:eastAsia="宋体" w:hAnsi="Times New Roman"/>
          <w:color w:val="000000"/>
        </w:rPr>
        <w:t>Lanxess）将其聚氨酯系统业务出售给日本宇部兴产株式会社（UBE Corporation），交易金额约4.6亿欧元；</w:t>
      </w:r>
    </w:p>
    <w:p w14:paraId="099D38BE" w14:textId="77777777" w:rsidR="00355B39" w:rsidRDefault="00355B39" w:rsidP="00355B39">
      <w:pPr>
        <w:pStyle w:val="af5"/>
        <w:numPr>
          <w:ilvl w:val="0"/>
          <w:numId w:val="12"/>
        </w:numPr>
        <w:spacing w:before="120"/>
        <w:ind w:left="690" w:hanging="240"/>
        <w:rPr>
          <w:rFonts w:ascii="宋体" w:eastAsia="宋体" w:hAnsi="Times New Roman"/>
          <w:color w:val="000000"/>
        </w:rPr>
      </w:pPr>
      <w:r w:rsidRPr="00355B39">
        <w:rPr>
          <w:rFonts w:ascii="宋体" w:eastAsia="宋体" w:hAnsi="Times New Roman" w:hint="eastAsia"/>
          <w:color w:val="000000"/>
        </w:rPr>
        <w:t>代表太古饮料控股，太古股份公司（</w:t>
      </w:r>
      <w:r w:rsidRPr="00355B39">
        <w:rPr>
          <w:rFonts w:ascii="宋体" w:eastAsia="宋体" w:hAnsi="Times New Roman"/>
          <w:color w:val="000000"/>
        </w:rPr>
        <w:t>HKEX: 00019）的全资子公司之一，向可口可乐收购其在华自有部分装瓶业务的股权提供法律服务；</w:t>
      </w:r>
    </w:p>
    <w:p w14:paraId="221931DF" w14:textId="77777777" w:rsidR="00355B39" w:rsidRDefault="00355B39" w:rsidP="00355B39">
      <w:pPr>
        <w:pStyle w:val="af5"/>
        <w:numPr>
          <w:ilvl w:val="0"/>
          <w:numId w:val="13"/>
        </w:numPr>
        <w:spacing w:before="120"/>
        <w:ind w:left="690" w:hanging="240"/>
        <w:rPr>
          <w:rFonts w:ascii="宋体" w:eastAsia="宋体" w:hAnsi="Times New Roman"/>
          <w:color w:val="000000"/>
        </w:rPr>
      </w:pPr>
      <w:r w:rsidRPr="00355B39">
        <w:rPr>
          <w:rFonts w:ascii="宋体" w:eastAsia="宋体" w:hAnsi="Times New Roman" w:hint="eastAsia"/>
          <w:color w:val="000000"/>
        </w:rPr>
        <w:t>代表以渣打私募股权基金（现亚赋资本）为首的买方财团，就其对思妍丽（一家全国性的高端美容连锁及医疗美容集团）超过</w:t>
      </w:r>
      <w:r w:rsidRPr="00355B39">
        <w:rPr>
          <w:rFonts w:ascii="宋体" w:eastAsia="宋体" w:hAnsi="Times New Roman"/>
          <w:color w:val="000000"/>
        </w:rPr>
        <w:t>2 亿美金的杠杆收购、后续将思妍丽大部分股份出售给数个私募股权投资基金以及将思妍丽小部分股份通过换股交易（被终止）出售给潮宏基（SZSE: 002345），后续出售给MBK Partners提供全程法律服务；</w:t>
      </w:r>
    </w:p>
    <w:p w14:paraId="030B1249" w14:textId="77777777" w:rsidR="00355B39" w:rsidRDefault="00355B39" w:rsidP="00355B39">
      <w:pPr>
        <w:pStyle w:val="af5"/>
        <w:numPr>
          <w:ilvl w:val="0"/>
          <w:numId w:val="14"/>
        </w:numPr>
        <w:spacing w:before="120"/>
        <w:ind w:left="690" w:hanging="240"/>
        <w:rPr>
          <w:rFonts w:ascii="宋体" w:eastAsia="宋体" w:hAnsi="Times New Roman"/>
          <w:color w:val="000000"/>
        </w:rPr>
      </w:pPr>
      <w:r w:rsidRPr="00355B39">
        <w:rPr>
          <w:rFonts w:ascii="宋体" w:eastAsia="宋体" w:hAnsi="Times New Roman" w:hint="eastAsia"/>
          <w:color w:val="000000"/>
        </w:rPr>
        <w:t>代表</w:t>
      </w:r>
      <w:r w:rsidRPr="00355B39">
        <w:rPr>
          <w:rFonts w:ascii="宋体" w:eastAsia="宋体" w:hAnsi="Times New Roman"/>
          <w:color w:val="000000"/>
        </w:rPr>
        <w:t>PSA （已合并入Stellantis集团）在中国的数个合资项目，包括与中国领先汽车制造商的潜在合作；以及其与FCA全球合并的中国相关事务；</w:t>
      </w:r>
    </w:p>
    <w:p w14:paraId="33512347" w14:textId="77777777" w:rsidR="00355B39" w:rsidRDefault="00355B39" w:rsidP="00355B39">
      <w:pPr>
        <w:pStyle w:val="af5"/>
        <w:numPr>
          <w:ilvl w:val="0"/>
          <w:numId w:val="15"/>
        </w:numPr>
        <w:spacing w:before="120"/>
        <w:ind w:left="690" w:hanging="240"/>
        <w:rPr>
          <w:rFonts w:ascii="宋体" w:eastAsia="宋体" w:hAnsi="Times New Roman"/>
          <w:color w:val="000000"/>
        </w:rPr>
      </w:pPr>
      <w:r w:rsidRPr="00355B39">
        <w:rPr>
          <w:rFonts w:ascii="宋体" w:eastAsia="宋体" w:hAnsi="Times New Roman" w:hint="eastAsia"/>
          <w:color w:val="000000"/>
        </w:rPr>
        <w:t>代表</w:t>
      </w:r>
      <w:r w:rsidRPr="00355B39">
        <w:rPr>
          <w:rFonts w:ascii="宋体" w:eastAsia="宋体" w:hAnsi="Times New Roman"/>
          <w:color w:val="000000"/>
        </w:rPr>
        <w:t>Paccar Inc.对中国一家领先的重卡制造企业的潜在投资；</w:t>
      </w:r>
    </w:p>
    <w:p w14:paraId="63A9CC3B" w14:textId="77777777" w:rsidR="00355B39" w:rsidRDefault="00355B39" w:rsidP="00355B39">
      <w:pPr>
        <w:pStyle w:val="af5"/>
        <w:numPr>
          <w:ilvl w:val="0"/>
          <w:numId w:val="16"/>
        </w:numPr>
        <w:spacing w:before="120"/>
        <w:ind w:left="690" w:hanging="240"/>
        <w:rPr>
          <w:rFonts w:ascii="宋体" w:eastAsia="宋体" w:hAnsi="Times New Roman"/>
          <w:color w:val="000000"/>
        </w:rPr>
      </w:pPr>
      <w:r w:rsidRPr="00355B39">
        <w:rPr>
          <w:rFonts w:ascii="宋体" w:eastAsia="宋体" w:hAnsi="Times New Roman" w:hint="eastAsia"/>
          <w:color w:val="000000"/>
        </w:rPr>
        <w:t>代表浦科投资</w:t>
      </w:r>
      <w:r w:rsidRPr="00355B39">
        <w:rPr>
          <w:rFonts w:ascii="宋体" w:eastAsia="宋体" w:hAnsi="Times New Roman"/>
          <w:color w:val="000000"/>
        </w:rPr>
        <w:t>/上海半导体装备材料产业投资基金执行数个半导体领域的境外收购、合资（探针领域）及少数股权投资（集成电路测试设备等）项目；</w:t>
      </w:r>
    </w:p>
    <w:p w14:paraId="5AE2E4EB" w14:textId="77777777" w:rsidR="00355B39" w:rsidRDefault="00355B39" w:rsidP="00355B39">
      <w:pPr>
        <w:pStyle w:val="af5"/>
        <w:numPr>
          <w:ilvl w:val="0"/>
          <w:numId w:val="17"/>
        </w:numPr>
        <w:spacing w:before="120"/>
        <w:ind w:left="690" w:hanging="240"/>
        <w:rPr>
          <w:rFonts w:ascii="宋体" w:eastAsia="宋体" w:hAnsi="Times New Roman"/>
          <w:color w:val="000000"/>
        </w:rPr>
      </w:pPr>
      <w:r w:rsidRPr="00355B39">
        <w:rPr>
          <w:rFonts w:ascii="宋体" w:eastAsia="宋体" w:hAnsi="Times New Roman" w:hint="eastAsia"/>
          <w:color w:val="000000"/>
        </w:rPr>
        <w:t>代表阿里巴巴（</w:t>
      </w:r>
      <w:r w:rsidRPr="00355B39">
        <w:rPr>
          <w:rFonts w:ascii="宋体" w:eastAsia="宋体" w:hAnsi="Times New Roman"/>
          <w:color w:val="000000"/>
        </w:rPr>
        <w:t xml:space="preserve"> 09988.HK ）旗下移动办公平台钉钉完成对协同办公企业</w:t>
      </w:r>
      <w:r w:rsidRPr="00355B39">
        <w:rPr>
          <w:rFonts w:ascii="宋体" w:eastAsia="宋体" w:hAnsi="Times New Roman"/>
          <w:color w:val="000000"/>
        </w:rPr>
        <w:t>“</w:t>
      </w:r>
      <w:r w:rsidRPr="00355B39">
        <w:rPr>
          <w:rFonts w:ascii="宋体" w:eastAsia="宋体" w:hAnsi="Times New Roman"/>
          <w:color w:val="000000"/>
        </w:rPr>
        <w:t>我来wolai</w:t>
      </w:r>
      <w:r w:rsidRPr="00355B39">
        <w:rPr>
          <w:rFonts w:ascii="宋体" w:eastAsia="宋体" w:hAnsi="Times New Roman"/>
          <w:color w:val="000000"/>
        </w:rPr>
        <w:t>”</w:t>
      </w:r>
      <w:r w:rsidRPr="00355B39">
        <w:rPr>
          <w:rFonts w:ascii="宋体" w:eastAsia="宋体" w:hAnsi="Times New Roman"/>
          <w:color w:val="000000"/>
        </w:rPr>
        <w:t xml:space="preserve"> 的全资收购；</w:t>
      </w:r>
    </w:p>
    <w:p w14:paraId="2D65B6E5" w14:textId="77777777" w:rsidR="00355B39" w:rsidRDefault="00355B39" w:rsidP="00355B39">
      <w:pPr>
        <w:pStyle w:val="af5"/>
        <w:numPr>
          <w:ilvl w:val="0"/>
          <w:numId w:val="18"/>
        </w:numPr>
        <w:spacing w:before="120"/>
        <w:ind w:left="690" w:hanging="240"/>
        <w:rPr>
          <w:rFonts w:ascii="宋体" w:eastAsia="宋体" w:hAnsi="Times New Roman"/>
          <w:color w:val="000000"/>
        </w:rPr>
      </w:pPr>
      <w:r w:rsidRPr="00355B39">
        <w:rPr>
          <w:rFonts w:ascii="宋体" w:eastAsia="宋体" w:hAnsi="Times New Roman" w:hint="eastAsia"/>
          <w:color w:val="000000"/>
        </w:rPr>
        <w:t>代表菜鸟网络战略投资</w:t>
      </w:r>
      <w:r w:rsidRPr="00355B39">
        <w:rPr>
          <w:rFonts w:ascii="宋体" w:eastAsia="宋体" w:hAnsi="Times New Roman"/>
          <w:color w:val="000000"/>
        </w:rPr>
        <w:t>Baotong Inc. （宝尊（NASDAQ: BZUN; HKEX: 9991）旗下物流平台）和快行天下（一家集供应链解决方案、多温层标准仓配、流通定制加工为一体的全国性一站式端到端供应链服务平台）；</w:t>
      </w:r>
    </w:p>
    <w:p w14:paraId="092EFF41" w14:textId="77777777" w:rsidR="00355B39" w:rsidRDefault="00355B39" w:rsidP="00355B39">
      <w:pPr>
        <w:pStyle w:val="af5"/>
        <w:numPr>
          <w:ilvl w:val="0"/>
          <w:numId w:val="19"/>
        </w:numPr>
        <w:spacing w:before="120"/>
        <w:ind w:left="690" w:hanging="240"/>
        <w:rPr>
          <w:rFonts w:ascii="宋体" w:eastAsia="宋体" w:hAnsi="Times New Roman"/>
          <w:color w:val="000000"/>
        </w:rPr>
      </w:pPr>
      <w:r w:rsidRPr="00355B39">
        <w:rPr>
          <w:rFonts w:ascii="宋体" w:eastAsia="宋体" w:hAnsi="Times New Roman" w:hint="eastAsia"/>
          <w:color w:val="000000"/>
        </w:rPr>
        <w:t>代表阿斯利康就其以</w:t>
      </w:r>
      <w:r w:rsidRPr="00355B39">
        <w:rPr>
          <w:rFonts w:ascii="宋体" w:eastAsia="宋体" w:hAnsi="Times New Roman"/>
          <w:color w:val="000000"/>
        </w:rPr>
        <w:t xml:space="preserve"> 3.1 亿美元授权费以及持续的经济利益分享为对价向康哲药业授予波依定在中国市场的独家商业化权利提供法律服务；</w:t>
      </w:r>
    </w:p>
    <w:p w14:paraId="7A437A0F" w14:textId="77777777" w:rsidR="00355B39" w:rsidRDefault="00355B39" w:rsidP="00355B39">
      <w:pPr>
        <w:pStyle w:val="af5"/>
        <w:numPr>
          <w:ilvl w:val="0"/>
          <w:numId w:val="20"/>
        </w:numPr>
        <w:spacing w:before="120"/>
        <w:ind w:left="690" w:hanging="240"/>
        <w:rPr>
          <w:rFonts w:ascii="宋体" w:eastAsia="宋体" w:hAnsi="Times New Roman"/>
          <w:color w:val="000000"/>
        </w:rPr>
      </w:pPr>
      <w:r w:rsidRPr="00355B39">
        <w:rPr>
          <w:rFonts w:ascii="宋体" w:eastAsia="宋体" w:hAnsi="Times New Roman" w:hint="eastAsia"/>
          <w:color w:val="000000"/>
        </w:rPr>
        <w:t>代表费森尤斯为其收购一家浓缩透析液和透析粉制造商提供法律服务；</w:t>
      </w:r>
    </w:p>
    <w:p w14:paraId="5F55FF68" w14:textId="77777777" w:rsidR="00355B39" w:rsidRDefault="00355B39" w:rsidP="00355B39">
      <w:pPr>
        <w:pStyle w:val="af5"/>
        <w:numPr>
          <w:ilvl w:val="0"/>
          <w:numId w:val="21"/>
        </w:numPr>
        <w:spacing w:before="120"/>
        <w:ind w:left="690" w:hanging="240"/>
        <w:rPr>
          <w:rFonts w:ascii="宋体" w:eastAsia="宋体" w:hAnsi="Times New Roman"/>
          <w:color w:val="000000"/>
        </w:rPr>
      </w:pPr>
      <w:r w:rsidRPr="00355B39">
        <w:rPr>
          <w:rFonts w:ascii="宋体" w:eastAsia="宋体" w:hAnsi="Times New Roman" w:hint="eastAsia"/>
          <w:color w:val="000000"/>
        </w:rPr>
        <w:t>在分众传媒的私有化和</w:t>
      </w:r>
      <w:r w:rsidRPr="00355B39">
        <w:rPr>
          <w:rFonts w:ascii="宋体" w:eastAsia="宋体" w:hAnsi="Times New Roman"/>
          <w:color w:val="000000"/>
        </w:rPr>
        <w:t xml:space="preserve"> A 股借壳上市项目中代表包括凯雷投资集团、方源资本、复星集团和春华资本在内的投资团；</w:t>
      </w:r>
    </w:p>
    <w:p w14:paraId="6380D137" w14:textId="77777777" w:rsidR="00355B39" w:rsidRDefault="00355B39" w:rsidP="00355B39">
      <w:pPr>
        <w:pStyle w:val="af5"/>
        <w:numPr>
          <w:ilvl w:val="0"/>
          <w:numId w:val="22"/>
        </w:numPr>
        <w:spacing w:before="120"/>
        <w:ind w:left="690" w:hanging="240"/>
        <w:rPr>
          <w:rFonts w:ascii="宋体" w:eastAsia="宋体" w:hAnsi="Times New Roman"/>
          <w:color w:val="000000"/>
        </w:rPr>
      </w:pPr>
      <w:r w:rsidRPr="00355B39">
        <w:rPr>
          <w:rFonts w:ascii="宋体" w:eastAsia="宋体" w:hAnsi="Times New Roman" w:hint="eastAsia"/>
          <w:color w:val="000000"/>
        </w:rPr>
        <w:t>其它主要产业客户还包括贝莱德、卡尔蔡司光学、雪佛龙、丹纳赫、费斯托工具、惠曼、</w:t>
      </w:r>
      <w:r w:rsidRPr="00355B39">
        <w:rPr>
          <w:rFonts w:ascii="宋体" w:eastAsia="宋体" w:hAnsi="Times New Roman"/>
          <w:color w:val="000000"/>
        </w:rPr>
        <w:t>SK化学和淡水河谷。</w:t>
      </w:r>
    </w:p>
    <w:p w14:paraId="2219DD41" w14:textId="77777777" w:rsidR="00355B39" w:rsidRDefault="00355B39" w:rsidP="00355B39">
      <w:pPr>
        <w:pStyle w:val="af5"/>
        <w:spacing w:before="120"/>
        <w:rPr>
          <w:rFonts w:ascii="宋体" w:eastAsia="宋体" w:hAnsi="Times New Roman"/>
          <w:color w:val="000000"/>
        </w:rPr>
      </w:pPr>
      <w:r w:rsidRPr="00355B39">
        <w:rPr>
          <w:rFonts w:ascii="宋体" w:eastAsia="宋体" w:hAnsi="Times New Roman" w:hint="eastAsia"/>
          <w:color w:val="000000"/>
        </w:rPr>
        <w:t>投资</w:t>
      </w:r>
      <w:r w:rsidRPr="00355B39">
        <w:rPr>
          <w:rFonts w:ascii="宋体" w:eastAsia="宋体" w:hAnsi="Times New Roman"/>
          <w:color w:val="000000"/>
        </w:rPr>
        <w:t>TMT领域（含人工智能）</w:t>
      </w:r>
    </w:p>
    <w:p w14:paraId="3A44EB92" w14:textId="77777777" w:rsidR="00355B39" w:rsidRDefault="00355B39" w:rsidP="00355B39">
      <w:pPr>
        <w:pStyle w:val="af5"/>
        <w:numPr>
          <w:ilvl w:val="0"/>
          <w:numId w:val="23"/>
        </w:numPr>
        <w:spacing w:before="120"/>
        <w:ind w:left="690" w:hanging="240"/>
        <w:rPr>
          <w:rFonts w:ascii="宋体" w:eastAsia="宋体" w:hAnsi="Times New Roman"/>
          <w:color w:val="000000"/>
        </w:rPr>
      </w:pPr>
      <w:r w:rsidRPr="00355B39">
        <w:rPr>
          <w:rFonts w:ascii="宋体" w:eastAsia="宋体" w:hAnsi="Times New Roman" w:hint="eastAsia"/>
          <w:color w:val="000000"/>
        </w:rPr>
        <w:t>代表阿里（阿里巴巴集团、阿里云及</w:t>
      </w:r>
      <w:r w:rsidRPr="00355B39">
        <w:rPr>
          <w:rFonts w:ascii="宋体" w:eastAsia="宋体" w:hAnsi="Times New Roman"/>
          <w:color w:val="000000"/>
        </w:rPr>
        <w:t>AIDC）完成对包括MiniMax、零一万物在内的近10家AIGC领域公司合计数十亿美元的投资；</w:t>
      </w:r>
    </w:p>
    <w:p w14:paraId="36DFDA2D" w14:textId="77777777" w:rsidR="00355B39" w:rsidRDefault="00355B39" w:rsidP="00355B39">
      <w:pPr>
        <w:pStyle w:val="af5"/>
        <w:numPr>
          <w:ilvl w:val="0"/>
          <w:numId w:val="24"/>
        </w:numPr>
        <w:spacing w:before="120"/>
        <w:ind w:left="690" w:hanging="240"/>
        <w:rPr>
          <w:rFonts w:ascii="宋体" w:eastAsia="宋体" w:hAnsi="Times New Roman"/>
          <w:color w:val="000000"/>
        </w:rPr>
      </w:pPr>
      <w:r w:rsidRPr="00355B39">
        <w:rPr>
          <w:rFonts w:ascii="宋体" w:eastAsia="宋体" w:hAnsi="Times New Roman" w:hint="eastAsia"/>
          <w:color w:val="000000"/>
        </w:rPr>
        <w:t>代表</w:t>
      </w:r>
      <w:r w:rsidRPr="00355B39">
        <w:rPr>
          <w:rFonts w:ascii="宋体" w:eastAsia="宋体" w:hAnsi="Times New Roman"/>
          <w:color w:val="000000"/>
        </w:rPr>
        <w:t>MBK Partners通过其与Mirae Asset Daewoo</w:t>
      </w:r>
      <w:r w:rsidRPr="00355B39">
        <w:rPr>
          <w:rFonts w:ascii="宋体" w:eastAsia="宋体" w:hAnsi="Times New Roman"/>
          <w:color w:val="000000"/>
        </w:rPr>
        <w:t> </w:t>
      </w:r>
      <w:r w:rsidRPr="00355B39">
        <w:rPr>
          <w:rFonts w:ascii="宋体" w:eastAsia="宋体" w:hAnsi="Times New Roman"/>
          <w:color w:val="000000"/>
        </w:rPr>
        <w:t>组成的财团，以2.86亿美元收购韩国院线运营商CJ CGV在中国及东南亚资产的少数股权；</w:t>
      </w:r>
    </w:p>
    <w:p w14:paraId="0CE27817" w14:textId="77777777" w:rsidR="00355B39" w:rsidRDefault="00355B39" w:rsidP="00355B39">
      <w:pPr>
        <w:pStyle w:val="af5"/>
        <w:numPr>
          <w:ilvl w:val="0"/>
          <w:numId w:val="25"/>
        </w:numPr>
        <w:spacing w:before="120"/>
        <w:ind w:left="690" w:hanging="240"/>
        <w:rPr>
          <w:rFonts w:ascii="宋体" w:eastAsia="宋体" w:hAnsi="Times New Roman"/>
          <w:color w:val="000000"/>
        </w:rPr>
      </w:pPr>
      <w:r w:rsidRPr="00355B39">
        <w:rPr>
          <w:rFonts w:ascii="宋体" w:eastAsia="宋体" w:hAnsi="Times New Roman" w:hint="eastAsia"/>
          <w:color w:val="000000"/>
        </w:rPr>
        <w:t>代表阿里巴巴集团为其与腾讯及元禾控股对</w:t>
      </w:r>
      <w:r w:rsidRPr="00355B39">
        <w:rPr>
          <w:rFonts w:ascii="宋体" w:eastAsia="宋体" w:hAnsi="Times New Roman"/>
          <w:color w:val="000000"/>
        </w:rPr>
        <w:t>China Media Capital（华人文化）的共同投资及对华人文化后续增资提供法律服务，其中阿里巴巴集团的投资超过人民币30亿元；</w:t>
      </w:r>
    </w:p>
    <w:p w14:paraId="0770DA44" w14:textId="77777777" w:rsidR="00355B39" w:rsidRDefault="00355B39" w:rsidP="00355B39">
      <w:pPr>
        <w:pStyle w:val="af5"/>
        <w:numPr>
          <w:ilvl w:val="0"/>
          <w:numId w:val="26"/>
        </w:numPr>
        <w:spacing w:before="120"/>
        <w:ind w:left="690" w:hanging="240"/>
        <w:rPr>
          <w:rFonts w:ascii="宋体" w:eastAsia="宋体" w:hAnsi="Times New Roman"/>
          <w:color w:val="000000"/>
        </w:rPr>
      </w:pPr>
      <w:r w:rsidRPr="00355B39">
        <w:rPr>
          <w:rFonts w:ascii="宋体" w:eastAsia="宋体" w:hAnsi="Times New Roman" w:hint="eastAsia"/>
          <w:color w:val="000000"/>
        </w:rPr>
        <w:t>代表阿里巴巴集团和云锋为其对网易云音乐进行的少数股权投资提供法律服务，投资金额达</w:t>
      </w:r>
      <w:r w:rsidRPr="00355B39">
        <w:rPr>
          <w:rFonts w:ascii="宋体" w:eastAsia="宋体" w:hAnsi="Times New Roman"/>
          <w:color w:val="000000"/>
        </w:rPr>
        <w:t>7亿美元；</w:t>
      </w:r>
    </w:p>
    <w:p w14:paraId="56EAB44F" w14:textId="77777777" w:rsidR="00355B39" w:rsidRDefault="00355B39" w:rsidP="00355B39">
      <w:pPr>
        <w:pStyle w:val="af5"/>
        <w:numPr>
          <w:ilvl w:val="0"/>
          <w:numId w:val="27"/>
        </w:numPr>
        <w:spacing w:before="120"/>
        <w:ind w:left="690" w:hanging="240"/>
        <w:rPr>
          <w:rFonts w:ascii="宋体" w:eastAsia="宋体" w:hAnsi="Times New Roman"/>
          <w:color w:val="000000"/>
        </w:rPr>
      </w:pPr>
      <w:r w:rsidRPr="00355B39">
        <w:rPr>
          <w:rFonts w:ascii="宋体" w:eastAsia="宋体" w:hAnsi="Times New Roman" w:hint="eastAsia"/>
          <w:color w:val="000000"/>
        </w:rPr>
        <w:t>代表阿里巴巴集团为其投资苏宁体育提供法律服务；</w:t>
      </w:r>
    </w:p>
    <w:p w14:paraId="5E23902A" w14:textId="77777777" w:rsidR="00355B39" w:rsidRDefault="00355B39" w:rsidP="00355B39">
      <w:pPr>
        <w:pStyle w:val="af5"/>
        <w:numPr>
          <w:ilvl w:val="0"/>
          <w:numId w:val="28"/>
        </w:numPr>
        <w:spacing w:before="120"/>
        <w:ind w:left="690" w:hanging="240"/>
        <w:rPr>
          <w:rFonts w:ascii="宋体" w:eastAsia="宋体" w:hAnsi="Times New Roman"/>
          <w:color w:val="000000"/>
        </w:rPr>
      </w:pPr>
      <w:r w:rsidRPr="00355B39">
        <w:rPr>
          <w:rFonts w:ascii="宋体" w:eastAsia="宋体" w:hAnsi="Times New Roman" w:hint="eastAsia"/>
          <w:color w:val="000000"/>
        </w:rPr>
        <w:t>代表阿里巴巴集团与上汽集团发起智联网汽车基金并合资设立斑马网络提供法律服务；</w:t>
      </w:r>
    </w:p>
    <w:p w14:paraId="57A190B2" w14:textId="77777777" w:rsidR="00355B39" w:rsidRDefault="00355B39" w:rsidP="00355B39">
      <w:pPr>
        <w:pStyle w:val="af5"/>
        <w:numPr>
          <w:ilvl w:val="0"/>
          <w:numId w:val="29"/>
        </w:numPr>
        <w:spacing w:before="120"/>
        <w:ind w:left="690" w:hanging="240"/>
        <w:rPr>
          <w:rFonts w:ascii="宋体" w:eastAsia="宋体" w:hAnsi="Times New Roman"/>
          <w:color w:val="000000"/>
        </w:rPr>
      </w:pPr>
      <w:r w:rsidRPr="00355B39">
        <w:rPr>
          <w:rFonts w:ascii="宋体" w:eastAsia="宋体" w:hAnsi="Times New Roman" w:hint="eastAsia"/>
          <w:color w:val="000000"/>
        </w:rPr>
        <w:t>代表博裕和</w:t>
      </w:r>
      <w:r w:rsidRPr="00355B39">
        <w:rPr>
          <w:rFonts w:ascii="宋体" w:eastAsia="宋体" w:hAnsi="Times New Roman"/>
          <w:color w:val="000000"/>
        </w:rPr>
        <w:t>58集团，就其对万科物业（万科旗下物业管理服务部门）进行投资提供法律服务；</w:t>
      </w:r>
    </w:p>
    <w:p w14:paraId="5BBB8298" w14:textId="77777777" w:rsidR="00355B39" w:rsidRDefault="00355B39" w:rsidP="00355B39">
      <w:pPr>
        <w:pStyle w:val="af5"/>
        <w:numPr>
          <w:ilvl w:val="0"/>
          <w:numId w:val="30"/>
        </w:numPr>
        <w:spacing w:before="120"/>
        <w:ind w:left="690" w:hanging="240"/>
        <w:rPr>
          <w:rFonts w:ascii="宋体" w:eastAsia="宋体" w:hAnsi="Times New Roman"/>
          <w:color w:val="000000"/>
        </w:rPr>
      </w:pPr>
      <w:r w:rsidRPr="00355B39">
        <w:rPr>
          <w:rFonts w:ascii="宋体" w:eastAsia="宋体" w:hAnsi="Times New Roman" w:hint="eastAsia"/>
          <w:color w:val="000000"/>
        </w:rPr>
        <w:t>代表云锋为其参与芯华章（</w:t>
      </w:r>
      <w:r w:rsidRPr="00355B39">
        <w:rPr>
          <w:rFonts w:ascii="宋体" w:eastAsia="宋体" w:hAnsi="Times New Roman"/>
          <w:color w:val="000000"/>
        </w:rPr>
        <w:t>EDA）、矽睿科技（MEMS）、依图科技、滴滴货运、软通动力等公司的融资项目提供法律服务；</w:t>
      </w:r>
    </w:p>
    <w:p w14:paraId="1904BA5E" w14:textId="77777777" w:rsidR="00355B39" w:rsidRDefault="00355B39" w:rsidP="00355B39">
      <w:pPr>
        <w:pStyle w:val="af5"/>
        <w:numPr>
          <w:ilvl w:val="0"/>
          <w:numId w:val="31"/>
        </w:numPr>
        <w:spacing w:before="120"/>
        <w:ind w:left="690" w:hanging="240"/>
        <w:rPr>
          <w:rFonts w:ascii="宋体" w:eastAsia="宋体" w:hAnsi="Times New Roman"/>
          <w:color w:val="000000"/>
        </w:rPr>
      </w:pPr>
      <w:r w:rsidRPr="00355B39">
        <w:rPr>
          <w:rFonts w:ascii="宋体" w:eastAsia="宋体" w:hAnsi="Times New Roman" w:hint="eastAsia"/>
          <w:color w:val="000000"/>
        </w:rPr>
        <w:t>代表阿里巴巴集团为其对上海慧程（工业信息化软件和整体解决方案提供商）进行的少数股权投资提供法律服务；</w:t>
      </w:r>
    </w:p>
    <w:p w14:paraId="3459B98B" w14:textId="77777777" w:rsidR="00355B39" w:rsidRDefault="00355B39" w:rsidP="00355B39">
      <w:pPr>
        <w:pStyle w:val="af5"/>
        <w:numPr>
          <w:ilvl w:val="0"/>
          <w:numId w:val="32"/>
        </w:numPr>
        <w:spacing w:before="120"/>
        <w:ind w:left="690" w:hanging="240"/>
        <w:rPr>
          <w:rFonts w:ascii="宋体" w:eastAsia="宋体" w:hAnsi="Times New Roman"/>
          <w:color w:val="000000"/>
        </w:rPr>
      </w:pPr>
      <w:r w:rsidRPr="00355B39">
        <w:rPr>
          <w:rFonts w:ascii="宋体" w:eastAsia="宋体" w:hAnsi="Times New Roman" w:hint="eastAsia"/>
          <w:color w:val="000000"/>
        </w:rPr>
        <w:t>代表润诚产业领航基金（</w:t>
      </w:r>
      <w:r w:rsidRPr="00355B39">
        <w:rPr>
          <w:rFonts w:ascii="宋体" w:eastAsia="宋体" w:hAnsi="Times New Roman"/>
          <w:color w:val="000000"/>
        </w:rPr>
        <w:t>CR-CCT）作为领投方参与Aibee（爱笔智能，一家专注于线下空间数字化与智能化领域的高科技公司）的多轮融资；</w:t>
      </w:r>
    </w:p>
    <w:p w14:paraId="504186AF" w14:textId="77777777" w:rsidR="00355B39" w:rsidRDefault="00355B39" w:rsidP="00355B39">
      <w:pPr>
        <w:pStyle w:val="af5"/>
        <w:numPr>
          <w:ilvl w:val="0"/>
          <w:numId w:val="33"/>
        </w:numPr>
        <w:spacing w:before="120"/>
        <w:ind w:left="690" w:hanging="240"/>
        <w:rPr>
          <w:rFonts w:ascii="宋体" w:eastAsia="宋体" w:hAnsi="Times New Roman"/>
          <w:color w:val="000000"/>
        </w:rPr>
      </w:pPr>
      <w:r w:rsidRPr="00355B39">
        <w:rPr>
          <w:rFonts w:ascii="宋体" w:eastAsia="宋体" w:hAnsi="Times New Roman" w:hint="eastAsia"/>
          <w:color w:val="000000"/>
        </w:rPr>
        <w:t>代表蚂蚁金服、恒生电子与中投保，为其共同投资设立一家金融资产交易中心（网金社）提供法律服务；</w:t>
      </w:r>
    </w:p>
    <w:p w14:paraId="5D7540EE" w14:textId="77777777" w:rsidR="00355B39" w:rsidRDefault="00355B39" w:rsidP="00355B39">
      <w:pPr>
        <w:pStyle w:val="af5"/>
        <w:numPr>
          <w:ilvl w:val="0"/>
          <w:numId w:val="34"/>
        </w:numPr>
        <w:spacing w:before="120"/>
        <w:ind w:left="690" w:hanging="240"/>
        <w:rPr>
          <w:rFonts w:ascii="宋体" w:eastAsia="宋体" w:hAnsi="Times New Roman"/>
          <w:color w:val="000000"/>
        </w:rPr>
      </w:pPr>
      <w:r w:rsidRPr="00355B39">
        <w:rPr>
          <w:rFonts w:ascii="宋体" w:eastAsia="宋体" w:hAnsi="Times New Roman" w:hint="eastAsia"/>
          <w:color w:val="000000"/>
        </w:rPr>
        <w:t>代表赢创风险投资（</w:t>
      </w:r>
      <w:r w:rsidRPr="00355B39">
        <w:rPr>
          <w:rFonts w:ascii="宋体" w:eastAsia="宋体" w:hAnsi="Times New Roman"/>
          <w:color w:val="000000"/>
        </w:rPr>
        <w:t>Evonik VC）对海洲新材料（一家锂离子电池石墨烯电极材料的先驱）进行少数股权投资提供法律服务；</w:t>
      </w:r>
    </w:p>
    <w:p w14:paraId="0384947D" w14:textId="77777777" w:rsidR="00355B39" w:rsidRDefault="00355B39" w:rsidP="00355B39">
      <w:pPr>
        <w:pStyle w:val="af5"/>
        <w:numPr>
          <w:ilvl w:val="0"/>
          <w:numId w:val="35"/>
        </w:numPr>
        <w:spacing w:before="120"/>
        <w:ind w:left="690" w:hanging="240"/>
        <w:rPr>
          <w:rFonts w:ascii="宋体" w:eastAsia="宋体" w:hAnsi="Times New Roman"/>
          <w:color w:val="000000"/>
        </w:rPr>
      </w:pPr>
      <w:r w:rsidRPr="00355B39">
        <w:rPr>
          <w:rFonts w:ascii="宋体" w:eastAsia="宋体" w:hAnsi="Times New Roman" w:hint="eastAsia"/>
          <w:color w:val="000000"/>
        </w:rPr>
        <w:t>代表云启资本对追势科技、超维科技、松应科技、硅山技术等公司进行少数股权投资提供法律服务；</w:t>
      </w:r>
    </w:p>
    <w:p w14:paraId="6CA1612C" w14:textId="77777777" w:rsidR="00355B39" w:rsidRDefault="00355B39" w:rsidP="00355B39">
      <w:pPr>
        <w:pStyle w:val="af5"/>
        <w:numPr>
          <w:ilvl w:val="0"/>
          <w:numId w:val="36"/>
        </w:numPr>
        <w:spacing w:before="120"/>
        <w:ind w:left="690" w:hanging="240"/>
        <w:rPr>
          <w:rFonts w:ascii="宋体" w:eastAsia="宋体" w:hAnsi="Times New Roman"/>
          <w:color w:val="000000"/>
        </w:rPr>
      </w:pPr>
      <w:r w:rsidRPr="00355B39">
        <w:rPr>
          <w:rFonts w:ascii="宋体" w:eastAsia="宋体" w:hAnsi="Times New Roman" w:hint="eastAsia"/>
          <w:color w:val="000000"/>
        </w:rPr>
        <w:t>代表翌擎科技（一家领先的汽车与出行领域的产业互联网公司）接受腾讯、兴富资本投资提供法律服务。</w:t>
      </w:r>
    </w:p>
    <w:p w14:paraId="30280A03" w14:textId="77777777" w:rsidR="00355B39" w:rsidRDefault="00355B39" w:rsidP="00355B39">
      <w:pPr>
        <w:pStyle w:val="af5"/>
        <w:spacing w:before="120"/>
        <w:rPr>
          <w:rFonts w:ascii="宋体" w:eastAsia="宋体" w:hAnsi="Times New Roman"/>
          <w:color w:val="000000"/>
        </w:rPr>
      </w:pPr>
      <w:r w:rsidRPr="00355B39">
        <w:rPr>
          <w:rFonts w:ascii="宋体" w:eastAsia="宋体" w:hAnsi="Times New Roman" w:hint="eastAsia"/>
          <w:color w:val="000000"/>
        </w:rPr>
        <w:t>大健康领域</w:t>
      </w:r>
    </w:p>
    <w:p w14:paraId="2F81FB62" w14:textId="77777777" w:rsidR="00355B39" w:rsidRDefault="00355B39" w:rsidP="00355B39">
      <w:pPr>
        <w:pStyle w:val="af5"/>
        <w:numPr>
          <w:ilvl w:val="0"/>
          <w:numId w:val="37"/>
        </w:numPr>
        <w:spacing w:before="120"/>
        <w:ind w:left="690" w:hanging="240"/>
        <w:rPr>
          <w:rFonts w:ascii="宋体" w:eastAsia="宋体" w:hAnsi="Times New Roman"/>
          <w:color w:val="000000"/>
        </w:rPr>
      </w:pPr>
      <w:r w:rsidRPr="00355B39">
        <w:rPr>
          <w:rFonts w:ascii="宋体" w:eastAsia="宋体" w:hAnsi="Times New Roman" w:hint="eastAsia"/>
          <w:color w:val="000000"/>
        </w:rPr>
        <w:t>代表云锋参与其对</w:t>
      </w:r>
      <w:r w:rsidRPr="00355B39">
        <w:rPr>
          <w:rFonts w:ascii="宋体" w:eastAsia="宋体" w:hAnsi="Times New Roman"/>
          <w:color w:val="000000"/>
        </w:rPr>
        <w:t>A股上市公司美年健康（SZSE: 002044）的金额高达人民币24亿元的投资项目提供法律服务，美年健康是一家专注于专业健康体检和医疗服务的企业；</w:t>
      </w:r>
    </w:p>
    <w:p w14:paraId="41D77EE8" w14:textId="77777777" w:rsidR="00355B39" w:rsidRDefault="00355B39" w:rsidP="00355B39">
      <w:pPr>
        <w:pStyle w:val="af5"/>
        <w:numPr>
          <w:ilvl w:val="0"/>
          <w:numId w:val="38"/>
        </w:numPr>
        <w:spacing w:before="120"/>
        <w:ind w:left="690" w:hanging="240"/>
        <w:rPr>
          <w:rFonts w:ascii="宋体" w:eastAsia="宋体" w:hAnsi="Times New Roman"/>
          <w:color w:val="000000"/>
        </w:rPr>
      </w:pPr>
      <w:r w:rsidRPr="00355B39">
        <w:rPr>
          <w:rFonts w:ascii="宋体" w:eastAsia="宋体" w:hAnsi="Times New Roman" w:hint="eastAsia"/>
          <w:color w:val="000000"/>
        </w:rPr>
        <w:t>代表高瓴为其投资于奕安济世（现已与迈博斯生物合并为创胜集团；</w:t>
      </w:r>
      <w:r w:rsidRPr="00355B39">
        <w:rPr>
          <w:rFonts w:ascii="宋体" w:eastAsia="宋体" w:hAnsi="Times New Roman"/>
          <w:color w:val="000000"/>
        </w:rPr>
        <w:t>HKEX: 6628）及其他生物制药公司提供法律服务；</w:t>
      </w:r>
    </w:p>
    <w:p w14:paraId="650BE904" w14:textId="77777777" w:rsidR="00355B39" w:rsidRDefault="00355B39" w:rsidP="00355B39">
      <w:pPr>
        <w:pStyle w:val="af5"/>
        <w:numPr>
          <w:ilvl w:val="0"/>
          <w:numId w:val="39"/>
        </w:numPr>
        <w:spacing w:before="120"/>
        <w:ind w:left="690" w:hanging="240"/>
        <w:rPr>
          <w:rFonts w:ascii="宋体" w:eastAsia="宋体" w:hAnsi="Times New Roman"/>
          <w:color w:val="000000"/>
        </w:rPr>
      </w:pPr>
      <w:r w:rsidRPr="00355B39">
        <w:rPr>
          <w:rFonts w:ascii="宋体" w:eastAsia="宋体" w:hAnsi="Times New Roman" w:hint="eastAsia"/>
          <w:color w:val="000000"/>
        </w:rPr>
        <w:t>代表高瓴为作为领投方参与新光维医疗（一家聚焦于图像处理的研究开发和内窥镜技术创新的医疗器械研发生产企业）近人民币</w:t>
      </w:r>
      <w:r w:rsidRPr="00355B39">
        <w:rPr>
          <w:rFonts w:ascii="宋体" w:eastAsia="宋体" w:hAnsi="Times New Roman"/>
          <w:color w:val="000000"/>
        </w:rPr>
        <w:t>4亿元的A轮融资提供法律服务；</w:t>
      </w:r>
    </w:p>
    <w:p w14:paraId="2EF729A4" w14:textId="77777777" w:rsidR="00355B39" w:rsidRDefault="00355B39" w:rsidP="00355B39">
      <w:pPr>
        <w:pStyle w:val="af5"/>
        <w:numPr>
          <w:ilvl w:val="0"/>
          <w:numId w:val="40"/>
        </w:numPr>
        <w:spacing w:before="120"/>
        <w:ind w:left="690" w:hanging="240"/>
        <w:rPr>
          <w:rFonts w:ascii="宋体" w:eastAsia="宋体" w:hAnsi="Times New Roman"/>
          <w:color w:val="000000"/>
        </w:rPr>
      </w:pPr>
      <w:r w:rsidRPr="00355B39">
        <w:rPr>
          <w:rFonts w:ascii="宋体" w:eastAsia="宋体" w:hAnsi="Times New Roman" w:hint="eastAsia"/>
          <w:color w:val="000000"/>
        </w:rPr>
        <w:t>代表正心谷作为领投方参与极目生物（一家专注于创新疗法的临床开发阶段眼科生物技术公司）超</w:t>
      </w:r>
      <w:r w:rsidRPr="00355B39">
        <w:rPr>
          <w:rFonts w:ascii="宋体" w:eastAsia="宋体" w:hAnsi="Times New Roman"/>
          <w:color w:val="000000"/>
        </w:rPr>
        <w:t>1亿美元的B轮融资、参与先为达（一家专注于研究、开发治疗慢性代谢性疾病创新疗法的生物科技公司）人民币4.5亿元C轮融资提供法律服务；</w:t>
      </w:r>
    </w:p>
    <w:p w14:paraId="7AFB4CDD" w14:textId="77777777" w:rsidR="00355B39" w:rsidRDefault="00355B39" w:rsidP="00355B39">
      <w:pPr>
        <w:pStyle w:val="af5"/>
        <w:numPr>
          <w:ilvl w:val="0"/>
          <w:numId w:val="41"/>
        </w:numPr>
        <w:spacing w:before="120"/>
        <w:ind w:left="690" w:hanging="240"/>
        <w:rPr>
          <w:rFonts w:ascii="宋体" w:eastAsia="宋体" w:hAnsi="Times New Roman"/>
          <w:color w:val="000000"/>
        </w:rPr>
      </w:pPr>
      <w:r w:rsidRPr="00355B39">
        <w:rPr>
          <w:rFonts w:ascii="宋体" w:eastAsia="宋体" w:hAnsi="Times New Roman" w:hint="eastAsia"/>
          <w:color w:val="000000"/>
        </w:rPr>
        <w:t>代表礼来亚洲基金投资一家致力于研发制造及商业化眼科基因治疗创新药的初创企业；</w:t>
      </w:r>
    </w:p>
    <w:p w14:paraId="679F62D5" w14:textId="77777777" w:rsidR="00355B39" w:rsidRDefault="00355B39" w:rsidP="00355B39">
      <w:pPr>
        <w:pStyle w:val="af5"/>
        <w:numPr>
          <w:ilvl w:val="0"/>
          <w:numId w:val="42"/>
        </w:numPr>
        <w:spacing w:before="120"/>
        <w:ind w:left="690" w:hanging="240"/>
        <w:rPr>
          <w:rFonts w:ascii="宋体" w:eastAsia="宋体" w:hAnsi="Times New Roman"/>
          <w:color w:val="000000"/>
        </w:rPr>
      </w:pPr>
      <w:r w:rsidRPr="00355B39">
        <w:rPr>
          <w:rFonts w:ascii="宋体" w:eastAsia="宋体" w:hAnsi="Times New Roman" w:hint="eastAsia"/>
          <w:color w:val="000000"/>
        </w:rPr>
        <w:t>代表以国寿大健康股权投资基金以及国投创新管理的先进制造产业投资基金为领投方的财团，就其参与联影医疗（一家研发和生产高端医疗设备并提供创新医疗信息化解决方案的高科技独角兽企业）共达人民币</w:t>
      </w:r>
      <w:r w:rsidRPr="00355B39">
        <w:rPr>
          <w:rFonts w:ascii="宋体" w:eastAsia="宋体" w:hAnsi="Times New Roman"/>
          <w:color w:val="000000"/>
        </w:rPr>
        <w:t>33.33 亿元的A 轮融资提供法律服务；</w:t>
      </w:r>
    </w:p>
    <w:p w14:paraId="79F808B3" w14:textId="77777777" w:rsidR="00355B39" w:rsidRDefault="00355B39" w:rsidP="00355B39">
      <w:pPr>
        <w:pStyle w:val="af5"/>
        <w:numPr>
          <w:ilvl w:val="0"/>
          <w:numId w:val="43"/>
        </w:numPr>
        <w:spacing w:before="120"/>
        <w:ind w:left="690" w:hanging="240"/>
        <w:rPr>
          <w:rFonts w:ascii="宋体" w:eastAsia="宋体" w:hAnsi="Times New Roman"/>
          <w:color w:val="000000"/>
        </w:rPr>
      </w:pPr>
      <w:r w:rsidRPr="00355B39">
        <w:rPr>
          <w:rFonts w:ascii="宋体" w:eastAsia="宋体" w:hAnsi="Times New Roman" w:hint="eastAsia"/>
          <w:color w:val="000000"/>
        </w:rPr>
        <w:t>代表博裕为其对海吉亚医疗集团（现为香港联交所上市公司；</w:t>
      </w:r>
      <w:r w:rsidRPr="00355B39">
        <w:rPr>
          <w:rFonts w:ascii="宋体" w:eastAsia="宋体" w:hAnsi="Times New Roman"/>
          <w:color w:val="000000"/>
        </w:rPr>
        <w:t>HKEX: 6078）的少数股权投资提供法律服务。</w:t>
      </w:r>
    </w:p>
    <w:p w14:paraId="4ED13CB3" w14:textId="77777777" w:rsidR="00355B39" w:rsidRDefault="00355B39" w:rsidP="00355B39">
      <w:pPr>
        <w:pStyle w:val="af5"/>
        <w:spacing w:before="120"/>
        <w:rPr>
          <w:rFonts w:ascii="宋体" w:eastAsia="宋体" w:hAnsi="Times New Roman"/>
          <w:color w:val="000000"/>
        </w:rPr>
      </w:pPr>
      <w:r w:rsidRPr="00355B39">
        <w:rPr>
          <w:rFonts w:ascii="宋体" w:eastAsia="宋体" w:hAnsi="Times New Roman" w:hint="eastAsia"/>
          <w:color w:val="000000"/>
        </w:rPr>
        <w:t>其他</w:t>
      </w:r>
    </w:p>
    <w:p w14:paraId="7F47AD4B" w14:textId="77777777" w:rsidR="00355B39" w:rsidRDefault="00355B39" w:rsidP="00355B39">
      <w:pPr>
        <w:pStyle w:val="af5"/>
        <w:numPr>
          <w:ilvl w:val="0"/>
          <w:numId w:val="44"/>
        </w:numPr>
        <w:spacing w:before="120"/>
        <w:ind w:left="690" w:hanging="240"/>
        <w:rPr>
          <w:rFonts w:ascii="宋体" w:eastAsia="宋体" w:hAnsi="Times New Roman"/>
          <w:color w:val="000000"/>
        </w:rPr>
      </w:pPr>
      <w:r w:rsidRPr="00355B39">
        <w:rPr>
          <w:rFonts w:ascii="宋体" w:eastAsia="宋体" w:hAnsi="Times New Roman" w:hint="eastAsia"/>
          <w:color w:val="000000"/>
        </w:rPr>
        <w:t>孙律师还代表黑石、高盛、</w:t>
      </w:r>
      <w:r w:rsidRPr="00355B39">
        <w:rPr>
          <w:rFonts w:ascii="宋体" w:eastAsia="宋体" w:hAnsi="Times New Roman"/>
          <w:color w:val="000000"/>
        </w:rPr>
        <w:t>KKR、新程投资（NewQuest）、红杉和华平等众多国际主流私人股本投资基金执行过大量私人股本投资交易项目。</w:t>
      </w:r>
    </w:p>
    <w:p w14:paraId="1B8AE7BA" w14:textId="77777777" w:rsidR="00355B39" w:rsidRDefault="00355B39" w:rsidP="00355B39">
      <w:pPr>
        <w:pStyle w:val="af5"/>
        <w:spacing w:after="0" w:line="480" w:lineRule="auto"/>
        <w:rPr>
          <w:rFonts w:ascii="宋体" w:eastAsia="宋体" w:hAnsi="宋体"/>
          <w:b/>
          <w:sz w:val="24"/>
        </w:rPr>
      </w:pPr>
      <w:r w:rsidRPr="00355B39">
        <w:rPr>
          <w:rFonts w:ascii="宋体" w:eastAsia="宋体" w:hAnsi="宋体" w:hint="eastAsia"/>
          <w:b/>
          <w:sz w:val="24"/>
        </w:rPr>
        <w:t>教育背景</w:t>
      </w:r>
    </w:p>
    <w:p w14:paraId="737F2EE4" w14:textId="77777777" w:rsidR="00355B39" w:rsidRDefault="00355B39" w:rsidP="00355B39">
      <w:pPr>
        <w:pStyle w:val="af5"/>
        <w:numPr>
          <w:ilvl w:val="0"/>
          <w:numId w:val="45"/>
        </w:numPr>
        <w:spacing w:before="120"/>
        <w:ind w:left="690" w:hanging="240"/>
        <w:rPr>
          <w:rFonts w:ascii="宋体" w:eastAsia="宋体" w:hAnsi="Times New Roman"/>
          <w:color w:val="000000"/>
        </w:rPr>
      </w:pPr>
      <w:r w:rsidRPr="00355B39">
        <w:rPr>
          <w:rFonts w:ascii="宋体" w:eastAsia="宋体" w:hAnsi="Times New Roman" w:hint="eastAsia"/>
          <w:color w:val="000000"/>
        </w:rPr>
        <w:t>华东政法大学，法学学士</w:t>
      </w:r>
    </w:p>
    <w:p w14:paraId="2FC720F7" w14:textId="77777777" w:rsidR="00355B39" w:rsidRDefault="00355B39" w:rsidP="00355B39">
      <w:pPr>
        <w:pStyle w:val="af5"/>
        <w:numPr>
          <w:ilvl w:val="0"/>
          <w:numId w:val="46"/>
        </w:numPr>
        <w:spacing w:before="120"/>
        <w:ind w:left="690" w:hanging="240"/>
        <w:rPr>
          <w:rFonts w:ascii="宋体" w:eastAsia="宋体" w:hAnsi="Times New Roman"/>
          <w:color w:val="000000"/>
        </w:rPr>
      </w:pPr>
      <w:r w:rsidRPr="00355B39">
        <w:rPr>
          <w:rFonts w:ascii="宋体" w:eastAsia="宋体" w:hAnsi="Times New Roman" w:hint="eastAsia"/>
          <w:color w:val="000000"/>
        </w:rPr>
        <w:t>加拿大蒙特利尔大学法学院，法学硕士</w:t>
      </w:r>
    </w:p>
    <w:p w14:paraId="6D00C5CC" w14:textId="77777777" w:rsidR="00355B39" w:rsidRDefault="00355B39" w:rsidP="00355B39">
      <w:pPr>
        <w:pStyle w:val="af5"/>
        <w:spacing w:after="0" w:line="480" w:lineRule="auto"/>
        <w:rPr>
          <w:rFonts w:ascii="宋体" w:eastAsia="宋体" w:hAnsi="宋体"/>
          <w:b/>
          <w:sz w:val="24"/>
        </w:rPr>
      </w:pPr>
      <w:r w:rsidRPr="00355B39">
        <w:rPr>
          <w:rFonts w:ascii="宋体" w:eastAsia="宋体" w:hAnsi="宋体" w:hint="eastAsia"/>
          <w:b/>
          <w:sz w:val="24"/>
        </w:rPr>
        <w:t>执业资格</w:t>
      </w:r>
    </w:p>
    <w:p w14:paraId="4243B376" w14:textId="77777777" w:rsidR="00355B39" w:rsidRDefault="00355B39" w:rsidP="00355B39">
      <w:pPr>
        <w:pStyle w:val="af5"/>
        <w:numPr>
          <w:ilvl w:val="0"/>
          <w:numId w:val="47"/>
        </w:numPr>
        <w:spacing w:before="120"/>
        <w:ind w:left="690" w:hanging="240"/>
        <w:rPr>
          <w:rFonts w:ascii="宋体" w:eastAsia="宋体" w:hAnsi="Times New Roman"/>
          <w:color w:val="000000"/>
        </w:rPr>
      </w:pPr>
      <w:r w:rsidRPr="00355B39">
        <w:rPr>
          <w:rFonts w:ascii="宋体" w:eastAsia="宋体" w:hAnsi="Times New Roman" w:hint="eastAsia"/>
          <w:color w:val="000000"/>
        </w:rPr>
        <w:t>中华人民共和国执业律师</w:t>
      </w:r>
    </w:p>
    <w:p w14:paraId="20FEA836" w14:textId="77777777" w:rsidR="00355B39" w:rsidRDefault="00355B39" w:rsidP="00355B39">
      <w:pPr>
        <w:pStyle w:val="af5"/>
        <w:spacing w:after="0" w:line="480" w:lineRule="auto"/>
        <w:rPr>
          <w:rFonts w:ascii="宋体" w:eastAsia="宋体" w:hAnsi="宋体"/>
          <w:b/>
          <w:sz w:val="24"/>
        </w:rPr>
      </w:pPr>
      <w:r w:rsidRPr="00355B39">
        <w:rPr>
          <w:rFonts w:ascii="宋体" w:eastAsia="宋体" w:hAnsi="宋体" w:hint="eastAsia"/>
          <w:b/>
          <w:sz w:val="24"/>
        </w:rPr>
        <w:t>职业背景</w:t>
      </w:r>
    </w:p>
    <w:p w14:paraId="4F0A196B" w14:textId="4B779D58" w:rsidR="00A46A04" w:rsidRPr="00355B39" w:rsidRDefault="00355B39" w:rsidP="00355B39">
      <w:pPr>
        <w:pStyle w:val="af5"/>
        <w:numPr>
          <w:ilvl w:val="0"/>
          <w:numId w:val="48"/>
        </w:numPr>
        <w:spacing w:before="120"/>
        <w:ind w:left="690" w:hanging="240"/>
        <w:rPr>
          <w:rFonts w:ascii="宋体" w:eastAsia="宋体" w:hAnsi="Times New Roman"/>
          <w:color w:val="000000"/>
        </w:rPr>
      </w:pPr>
      <w:r w:rsidRPr="00355B39">
        <w:rPr>
          <w:rFonts w:ascii="宋体" w:eastAsia="宋体" w:hAnsi="Times New Roman" w:hint="eastAsia"/>
          <w:color w:val="000000"/>
        </w:rPr>
        <w:t>孙林律师于</w:t>
      </w:r>
      <w:r w:rsidRPr="00355B39">
        <w:rPr>
          <w:rFonts w:ascii="宋体" w:eastAsia="宋体" w:hAnsi="Times New Roman"/>
          <w:color w:val="000000"/>
        </w:rPr>
        <w:t>2014年加入方达律师事务所上海办公室，此前在一家专注于并购业务的精品律所工作数年。</w:t>
      </w:r>
    </w:p>
    <w:sectPr w:rsidR="00A46A04" w:rsidRPr="00355B3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701A2"/>
    <w:multiLevelType w:val="singleLevel"/>
    <w:tmpl w:val="0FCC6EC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296243"/>
    <w:multiLevelType w:val="singleLevel"/>
    <w:tmpl w:val="B33A5C7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4A6E15"/>
    <w:multiLevelType w:val="singleLevel"/>
    <w:tmpl w:val="9EBE51D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D40F67"/>
    <w:multiLevelType w:val="singleLevel"/>
    <w:tmpl w:val="945880D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6419D9"/>
    <w:multiLevelType w:val="singleLevel"/>
    <w:tmpl w:val="C3DECCF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96C1C88"/>
    <w:multiLevelType w:val="singleLevel"/>
    <w:tmpl w:val="553AFE2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B88165A"/>
    <w:multiLevelType w:val="singleLevel"/>
    <w:tmpl w:val="8DB60B7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C5C460C"/>
    <w:multiLevelType w:val="singleLevel"/>
    <w:tmpl w:val="0AFCEA2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CDB4E6F"/>
    <w:multiLevelType w:val="singleLevel"/>
    <w:tmpl w:val="A588D05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4F22A76"/>
    <w:multiLevelType w:val="singleLevel"/>
    <w:tmpl w:val="2E3E59E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64801F6"/>
    <w:multiLevelType w:val="singleLevel"/>
    <w:tmpl w:val="C850260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93E049A"/>
    <w:multiLevelType w:val="singleLevel"/>
    <w:tmpl w:val="E12A99B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D3F4050"/>
    <w:multiLevelType w:val="singleLevel"/>
    <w:tmpl w:val="6C8215D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DD35ECC"/>
    <w:multiLevelType w:val="singleLevel"/>
    <w:tmpl w:val="F258A03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0A2257D"/>
    <w:multiLevelType w:val="singleLevel"/>
    <w:tmpl w:val="0BDAF86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4AA4D1B"/>
    <w:multiLevelType w:val="singleLevel"/>
    <w:tmpl w:val="A93A8E3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AEB365E"/>
    <w:multiLevelType w:val="singleLevel"/>
    <w:tmpl w:val="E00264A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B0E7298"/>
    <w:multiLevelType w:val="singleLevel"/>
    <w:tmpl w:val="C8A4B1E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CFC7BFE"/>
    <w:multiLevelType w:val="singleLevel"/>
    <w:tmpl w:val="282C88C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DD73E53"/>
    <w:multiLevelType w:val="singleLevel"/>
    <w:tmpl w:val="1F86C21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5AE2448"/>
    <w:multiLevelType w:val="singleLevel"/>
    <w:tmpl w:val="AA60D25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6581247"/>
    <w:multiLevelType w:val="singleLevel"/>
    <w:tmpl w:val="F584560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6982631"/>
    <w:multiLevelType w:val="singleLevel"/>
    <w:tmpl w:val="C62E51B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B2A69B9"/>
    <w:multiLevelType w:val="singleLevel"/>
    <w:tmpl w:val="8DB60B7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6" w15:restartNumberingAfterBreak="0">
    <w:nsid w:val="3C066F9C"/>
    <w:multiLevelType w:val="singleLevel"/>
    <w:tmpl w:val="5E64B28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C414D8C"/>
    <w:multiLevelType w:val="singleLevel"/>
    <w:tmpl w:val="DF9E49F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2230BAC"/>
    <w:multiLevelType w:val="singleLevel"/>
    <w:tmpl w:val="98F0CC6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320677C"/>
    <w:multiLevelType w:val="singleLevel"/>
    <w:tmpl w:val="7EC81DA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D031F99"/>
    <w:multiLevelType w:val="singleLevel"/>
    <w:tmpl w:val="DADCE40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0285AEF"/>
    <w:multiLevelType w:val="singleLevel"/>
    <w:tmpl w:val="49268DD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5823178"/>
    <w:multiLevelType w:val="singleLevel"/>
    <w:tmpl w:val="C0E8015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AEF542F"/>
    <w:multiLevelType w:val="singleLevel"/>
    <w:tmpl w:val="83D0544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B1B6FEA"/>
    <w:multiLevelType w:val="singleLevel"/>
    <w:tmpl w:val="3C2A8E2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BD835CC"/>
    <w:multiLevelType w:val="singleLevel"/>
    <w:tmpl w:val="CC5698F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C283368"/>
    <w:multiLevelType w:val="singleLevel"/>
    <w:tmpl w:val="24926D1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D265528"/>
    <w:multiLevelType w:val="singleLevel"/>
    <w:tmpl w:val="A3EE72F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E871CA5"/>
    <w:multiLevelType w:val="singleLevel"/>
    <w:tmpl w:val="7274394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0475AB7"/>
    <w:multiLevelType w:val="singleLevel"/>
    <w:tmpl w:val="37A06FB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12C0E88"/>
    <w:multiLevelType w:val="singleLevel"/>
    <w:tmpl w:val="3C283AB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7433ABB"/>
    <w:multiLevelType w:val="singleLevel"/>
    <w:tmpl w:val="25C0BDF2"/>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7FC7D82"/>
    <w:multiLevelType w:val="singleLevel"/>
    <w:tmpl w:val="B5E461E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C6233F6"/>
    <w:multiLevelType w:val="singleLevel"/>
    <w:tmpl w:val="3DD476B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38504D3"/>
    <w:multiLevelType w:val="singleLevel"/>
    <w:tmpl w:val="99001F90"/>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91F7D16"/>
    <w:multiLevelType w:val="singleLevel"/>
    <w:tmpl w:val="2E06FE98"/>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AB0769E"/>
    <w:multiLevelType w:val="singleLevel"/>
    <w:tmpl w:val="0D18C290"/>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FD321D6"/>
    <w:multiLevelType w:val="singleLevel"/>
    <w:tmpl w:val="EB42D2C2"/>
    <w:lvl w:ilvl="0">
      <w:start w:val="1"/>
      <w:numFmt w:val="bullet"/>
      <w:lvlText w:val=""/>
      <w:lvlJc w:val="left"/>
      <w:pPr>
        <w:tabs>
          <w:tab w:val="num" w:pos="200"/>
        </w:tabs>
        <w:ind w:left="200" w:hanging="200"/>
      </w:pPr>
      <w:rPr>
        <w:rFonts w:ascii="Wingdings" w:hAnsi="Wingdings" w:hint="default"/>
        <w:sz w:val="16"/>
      </w:rPr>
    </w:lvl>
  </w:abstractNum>
  <w:num w:numId="1">
    <w:abstractNumId w:val="20"/>
  </w:num>
  <w:num w:numId="2">
    <w:abstractNumId w:val="25"/>
  </w:num>
  <w:num w:numId="3">
    <w:abstractNumId w:val="8"/>
  </w:num>
  <w:num w:numId="4">
    <w:abstractNumId w:val="34"/>
  </w:num>
  <w:num w:numId="5">
    <w:abstractNumId w:val="33"/>
  </w:num>
  <w:num w:numId="6">
    <w:abstractNumId w:val="36"/>
  </w:num>
  <w:num w:numId="7">
    <w:abstractNumId w:val="15"/>
  </w:num>
  <w:num w:numId="8">
    <w:abstractNumId w:val="11"/>
  </w:num>
  <w:num w:numId="9">
    <w:abstractNumId w:val="1"/>
  </w:num>
  <w:num w:numId="10">
    <w:abstractNumId w:val="3"/>
  </w:num>
  <w:num w:numId="11">
    <w:abstractNumId w:val="45"/>
  </w:num>
  <w:num w:numId="12">
    <w:abstractNumId w:val="42"/>
  </w:num>
  <w:num w:numId="13">
    <w:abstractNumId w:val="28"/>
  </w:num>
  <w:num w:numId="14">
    <w:abstractNumId w:val="40"/>
  </w:num>
  <w:num w:numId="15">
    <w:abstractNumId w:val="0"/>
  </w:num>
  <w:num w:numId="16">
    <w:abstractNumId w:val="18"/>
  </w:num>
  <w:num w:numId="17">
    <w:abstractNumId w:val="22"/>
  </w:num>
  <w:num w:numId="18">
    <w:abstractNumId w:val="32"/>
  </w:num>
  <w:num w:numId="19">
    <w:abstractNumId w:val="27"/>
  </w:num>
  <w:num w:numId="20">
    <w:abstractNumId w:val="9"/>
  </w:num>
  <w:num w:numId="21">
    <w:abstractNumId w:val="35"/>
  </w:num>
  <w:num w:numId="22">
    <w:abstractNumId w:val="5"/>
  </w:num>
  <w:num w:numId="23">
    <w:abstractNumId w:val="29"/>
  </w:num>
  <w:num w:numId="24">
    <w:abstractNumId w:val="2"/>
  </w:num>
  <w:num w:numId="25">
    <w:abstractNumId w:val="46"/>
  </w:num>
  <w:num w:numId="26">
    <w:abstractNumId w:val="31"/>
  </w:num>
  <w:num w:numId="27">
    <w:abstractNumId w:val="16"/>
  </w:num>
  <w:num w:numId="28">
    <w:abstractNumId w:val="39"/>
  </w:num>
  <w:num w:numId="29">
    <w:abstractNumId w:val="13"/>
  </w:num>
  <w:num w:numId="30">
    <w:abstractNumId w:val="12"/>
  </w:num>
  <w:num w:numId="31">
    <w:abstractNumId w:val="21"/>
  </w:num>
  <w:num w:numId="32">
    <w:abstractNumId w:val="37"/>
  </w:num>
  <w:num w:numId="33">
    <w:abstractNumId w:val="17"/>
  </w:num>
  <w:num w:numId="34">
    <w:abstractNumId w:val="23"/>
  </w:num>
  <w:num w:numId="35">
    <w:abstractNumId w:val="26"/>
  </w:num>
  <w:num w:numId="36">
    <w:abstractNumId w:val="43"/>
  </w:num>
  <w:num w:numId="37">
    <w:abstractNumId w:val="19"/>
  </w:num>
  <w:num w:numId="38">
    <w:abstractNumId w:val="30"/>
  </w:num>
  <w:num w:numId="39">
    <w:abstractNumId w:val="38"/>
  </w:num>
  <w:num w:numId="40">
    <w:abstractNumId w:val="47"/>
  </w:num>
  <w:num w:numId="41">
    <w:abstractNumId w:val="7"/>
  </w:num>
  <w:num w:numId="42">
    <w:abstractNumId w:val="44"/>
  </w:num>
  <w:num w:numId="43">
    <w:abstractNumId w:val="10"/>
  </w:num>
  <w:num w:numId="44">
    <w:abstractNumId w:val="14"/>
  </w:num>
  <w:num w:numId="45">
    <w:abstractNumId w:val="4"/>
  </w:num>
  <w:num w:numId="46">
    <w:abstractNumId w:val="41"/>
  </w:num>
  <w:num w:numId="47">
    <w:abstractNumId w:val="24"/>
  </w:num>
  <w:num w:numId="4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55B39"/>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55B39"/>
    <w:pPr>
      <w:spacing w:after="120"/>
    </w:pPr>
  </w:style>
  <w:style w:type="character" w:customStyle="1" w:styleId="af6">
    <w:name w:val="正文文本 字符"/>
    <w:basedOn w:val="a0"/>
    <w:link w:val="af5"/>
    <w:uiPriority w:val="99"/>
    <w:rsid w:val="00355B3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938E76-487C-4C03-ACEC-7A348CD98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501</Words>
  <Characters>2856</Characters>
  <Application>Microsoft Office Word</Application>
  <DocSecurity>0</DocSecurity>
  <Lines>23</Lines>
  <Paragraphs>6</Paragraphs>
  <ScaleCrop>false</ScaleCrop>
  <Company/>
  <LinksUpToDate>false</LinksUpToDate>
  <CharactersWithSpaces>3351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2026-07-06T22:34:00Z</dcterms:created>
  <dcterms:modified xsi:type="dcterms:W3CDTF">2026-07-06T22:34:00Z</dcterms:modified>
</cp:coreProperties>
</file>