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93CAB4" w:rsidR="0049405C" w:rsidRPr="00187BAA" w:rsidRDefault="00C82388" w:rsidP="00C82388">
            <w:pPr>
              <w:spacing w:line="720" w:lineRule="auto"/>
              <w:rPr>
                <w:rFonts w:ascii="宋体" w:eastAsia="宋体" w:hAnsi="宋体"/>
                <w:color w:val="545551"/>
              </w:rPr>
            </w:pPr>
            <w:bookmarkStart w:id="0" w:name="xingming"/>
            <w:bookmarkStart w:id="1" w:name="_GoBack"/>
            <w:bookmarkEnd w:id="1"/>
            <w:r w:rsidRPr="00C82388">
              <w:rPr>
                <w:rFonts w:ascii="宋体" w:eastAsia="宋体" w:hAnsi="Times New Roman" w:hint="eastAsia"/>
                <w:b/>
                <w:color w:val="000000"/>
                <w:sz w:val="48"/>
              </w:rPr>
              <w:t>丛大林</w:t>
            </w:r>
            <w:bookmarkEnd w:id="0"/>
          </w:p>
          <w:p w14:paraId="706EB16B" w14:textId="66D43C6C" w:rsidR="0049405C" w:rsidRPr="00187BAA" w:rsidRDefault="00C82388" w:rsidP="00C82388">
            <w:pPr>
              <w:spacing w:line="360" w:lineRule="auto"/>
              <w:rPr>
                <w:rFonts w:ascii="宋体" w:eastAsia="宋体" w:hAnsi="宋体"/>
                <w:b/>
                <w:bCs/>
                <w:color w:val="545551"/>
              </w:rPr>
            </w:pPr>
            <w:bookmarkStart w:id="2" w:name="didian"/>
            <w:r w:rsidRPr="00C82388">
              <w:rPr>
                <w:rFonts w:ascii="宋体" w:eastAsia="宋体" w:hAnsi="Times New Roman" w:hint="eastAsia"/>
                <w:b/>
                <w:bCs/>
                <w:color w:val="000000"/>
              </w:rPr>
              <w:t>合伙人·上海</w:t>
            </w:r>
            <w:bookmarkEnd w:id="2"/>
          </w:p>
          <w:p w14:paraId="6199424A" w14:textId="771EDDB0" w:rsidR="0049405C" w:rsidRPr="00187BAA" w:rsidRDefault="00C82388" w:rsidP="00C82388">
            <w:pPr>
              <w:spacing w:line="360" w:lineRule="auto"/>
              <w:rPr>
                <w:rFonts w:ascii="宋体" w:eastAsia="宋体" w:hAnsi="宋体"/>
                <w:color w:val="545551"/>
              </w:rPr>
            </w:pPr>
            <w:bookmarkStart w:id="3" w:name="dianhua"/>
            <w:r w:rsidRPr="00C82388">
              <w:rPr>
                <w:rFonts w:ascii="宋体" w:eastAsia="宋体" w:hAnsi="Times New Roman"/>
                <w:color w:val="000000"/>
              </w:rPr>
              <w:t xml:space="preserve">+86 21 2208 1128 </w:t>
            </w:r>
            <w:bookmarkEnd w:id="3"/>
          </w:p>
          <w:p w14:paraId="4F910ACA" w14:textId="762B9CB3" w:rsidR="0049405C" w:rsidRPr="00187BAA" w:rsidRDefault="00C82388" w:rsidP="00C82388">
            <w:pPr>
              <w:spacing w:line="360" w:lineRule="auto"/>
              <w:rPr>
                <w:rFonts w:ascii="宋体" w:eastAsia="宋体" w:hAnsi="宋体"/>
                <w:color w:val="000000"/>
              </w:rPr>
            </w:pPr>
            <w:bookmarkStart w:id="4" w:name="youxiang"/>
            <w:r w:rsidRPr="00C82388">
              <w:rPr>
                <w:rFonts w:ascii="宋体" w:eastAsia="宋体" w:hAnsi="Times New Roman"/>
                <w:color w:val="000000"/>
              </w:rPr>
              <w:t>dalin.cong@fangdalaw.com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4A4F169" w:rsidR="0049405C" w:rsidRPr="00187BAA" w:rsidRDefault="00C8238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CE0AEE" wp14:editId="488EAB2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227714C" w:rsidR="009465FB" w:rsidRPr="00187BAA" w:rsidRDefault="00C82388" w:rsidP="007177F3">
            <w:pPr>
              <w:rPr>
                <w:rFonts w:ascii="宋体" w:eastAsia="宋体" w:hAnsi="宋体"/>
                <w:color w:val="000000"/>
                <w:szCs w:val="21"/>
              </w:rPr>
            </w:pPr>
            <w:bookmarkStart w:id="6" w:name="zhiyelingyu"/>
            <w:r w:rsidRPr="00C82388">
              <w:rPr>
                <w:rFonts w:ascii="宋体" w:eastAsia="宋体" w:hAnsi="Times New Roman" w:hint="eastAsia"/>
                <w:color w:val="000000"/>
                <w:szCs w:val="21"/>
              </w:rPr>
              <w:t>丛大林律师的主要执业领域为上市公司投资、收购与兼并、外商直接投资和公司一般法律事务。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F4172D" w14:textId="77777777" w:rsidR="00C8238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234BED" w14:textId="77777777" w:rsidR="00C82388" w:rsidRDefault="00C82388" w:rsidP="00C82388">
      <w:pPr>
        <w:pStyle w:val="af5"/>
        <w:spacing w:after="0" w:line="480" w:lineRule="auto"/>
        <w:rPr>
          <w:rFonts w:ascii="宋体" w:eastAsia="宋体" w:hAnsi="宋体"/>
          <w:b/>
          <w:sz w:val="24"/>
        </w:rPr>
      </w:pPr>
      <w:r w:rsidRPr="00C82388">
        <w:rPr>
          <w:rFonts w:ascii="宋体" w:eastAsia="宋体" w:hAnsi="宋体" w:hint="eastAsia"/>
          <w:b/>
          <w:sz w:val="24"/>
        </w:rPr>
        <w:t>近期代理的主要案件</w:t>
      </w:r>
    </w:p>
    <w:p w14:paraId="751818AA" w14:textId="77777777" w:rsidR="00C82388" w:rsidRDefault="00C82388" w:rsidP="00C82388">
      <w:pPr>
        <w:pStyle w:val="af5"/>
        <w:spacing w:before="120"/>
        <w:rPr>
          <w:rFonts w:ascii="宋体" w:eastAsia="宋体" w:hAnsi="Times New Roman"/>
          <w:color w:val="000000"/>
        </w:rPr>
      </w:pPr>
    </w:p>
    <w:p w14:paraId="244DB583" w14:textId="77777777" w:rsidR="00C82388" w:rsidRDefault="00C82388" w:rsidP="00C82388">
      <w:pPr>
        <w:pStyle w:val="af5"/>
        <w:numPr>
          <w:ilvl w:val="0"/>
          <w:numId w:val="4"/>
        </w:numPr>
        <w:spacing w:before="120"/>
        <w:ind w:left="690" w:hanging="240"/>
        <w:rPr>
          <w:rFonts w:ascii="宋体" w:eastAsia="宋体" w:hAnsi="Times New Roman"/>
          <w:color w:val="000000"/>
        </w:rPr>
      </w:pPr>
      <w:r w:rsidRPr="00C82388">
        <w:rPr>
          <w:rFonts w:ascii="宋体" w:eastAsia="宋体" w:hAnsi="Times New Roman" w:hint="eastAsia"/>
          <w:color w:val="000000"/>
        </w:rPr>
        <w:t>代表阿里巴巴集团为其战略投资汽车后服务市场提供法律服务，阿里巴巴集团与汽配供应链龙头服务商江苏康众汽配有限公司、</w:t>
      </w:r>
      <w:r w:rsidRPr="00C82388">
        <w:rPr>
          <w:rFonts w:ascii="宋体" w:eastAsia="宋体" w:hAnsi="Times New Roman"/>
          <w:color w:val="000000"/>
        </w:rPr>
        <w:t>A股上市公司金固股份（股票代码：002488.SZ）旗下汽车养护领军平台汽车超人以及其他投资人（包括美国华平投资集团、云锋基金、太盟投资集团等）共同设立一家合资公司</w:t>
      </w:r>
    </w:p>
    <w:p w14:paraId="0C80E645" w14:textId="77777777" w:rsidR="00C82388" w:rsidRDefault="00C82388" w:rsidP="00C82388">
      <w:pPr>
        <w:pStyle w:val="af5"/>
        <w:numPr>
          <w:ilvl w:val="0"/>
          <w:numId w:val="5"/>
        </w:numPr>
        <w:spacing w:before="120"/>
        <w:ind w:left="690" w:hanging="240"/>
        <w:rPr>
          <w:rFonts w:ascii="宋体" w:eastAsia="宋体" w:hAnsi="Times New Roman"/>
          <w:color w:val="000000"/>
        </w:rPr>
      </w:pPr>
      <w:r w:rsidRPr="00C82388">
        <w:rPr>
          <w:rFonts w:ascii="宋体" w:eastAsia="宋体" w:hAnsi="Times New Roman" w:hint="eastAsia"/>
          <w:color w:val="000000"/>
        </w:rPr>
        <w:t>代表阿里巴巴集团和蚂蚁金服为其战略投资美年健康提供法律服务，美年健康是一家在深圳证券交易所上市的公司（股票代码：</w:t>
      </w:r>
      <w:r w:rsidRPr="00C82388">
        <w:rPr>
          <w:rFonts w:ascii="宋体" w:eastAsia="宋体" w:hAnsi="Times New Roman"/>
          <w:color w:val="000000"/>
        </w:rPr>
        <w:t>002044.SZ），是中国领先的专业体检和医疗服务集团</w:t>
      </w:r>
    </w:p>
    <w:p w14:paraId="3B1498BB" w14:textId="77777777" w:rsidR="00C82388" w:rsidRDefault="00C82388" w:rsidP="00C82388">
      <w:pPr>
        <w:pStyle w:val="af5"/>
        <w:numPr>
          <w:ilvl w:val="0"/>
          <w:numId w:val="6"/>
        </w:numPr>
        <w:spacing w:before="120"/>
        <w:ind w:left="690" w:hanging="240"/>
        <w:rPr>
          <w:rFonts w:ascii="宋体" w:eastAsia="宋体" w:hAnsi="Times New Roman"/>
          <w:color w:val="000000"/>
        </w:rPr>
      </w:pPr>
      <w:r w:rsidRPr="00C82388">
        <w:rPr>
          <w:rFonts w:ascii="宋体" w:eastAsia="宋体" w:hAnsi="Times New Roman" w:hint="eastAsia"/>
          <w:color w:val="000000"/>
        </w:rPr>
        <w:t>代表阿里巴巴集团为其通过认购可交换债券以及受让</w:t>
      </w:r>
      <w:r w:rsidRPr="00C82388">
        <w:rPr>
          <w:rFonts w:ascii="宋体" w:eastAsia="宋体" w:hAnsi="Times New Roman"/>
          <w:color w:val="000000"/>
        </w:rPr>
        <w:t>H股的方式战略投资美凯龙提供法律服务，红星美凯龙是一家在上海和香港两地上市的公司（股票代码：601828.SH,1528.HK），是中国领先的家居装饰及家具商场运营商</w:t>
      </w:r>
    </w:p>
    <w:p w14:paraId="2DCFBAA5" w14:textId="77777777" w:rsidR="00C82388" w:rsidRDefault="00C82388" w:rsidP="00C82388">
      <w:pPr>
        <w:pStyle w:val="af5"/>
        <w:numPr>
          <w:ilvl w:val="0"/>
          <w:numId w:val="7"/>
        </w:numPr>
        <w:spacing w:before="120"/>
        <w:ind w:left="690" w:hanging="240"/>
        <w:rPr>
          <w:rFonts w:ascii="宋体" w:eastAsia="宋体" w:hAnsi="Times New Roman"/>
          <w:color w:val="000000"/>
        </w:rPr>
      </w:pPr>
      <w:r w:rsidRPr="00C82388">
        <w:rPr>
          <w:rFonts w:ascii="宋体" w:eastAsia="宋体" w:hAnsi="Times New Roman" w:hint="eastAsia"/>
          <w:color w:val="000000"/>
        </w:rPr>
        <w:t>代表阿里巴巴集团为其战略投资千方科技提供法律服务，千方科技是一家在深圳证券交易所上市的公司（股票代码：</w:t>
      </w:r>
      <w:r w:rsidRPr="00C82388">
        <w:rPr>
          <w:rFonts w:ascii="宋体" w:eastAsia="宋体" w:hAnsi="Times New Roman"/>
          <w:color w:val="000000"/>
        </w:rPr>
        <w:t>002373.SZ），是中国领先的智慧交通及智慧安保服务提供商</w:t>
      </w:r>
    </w:p>
    <w:p w14:paraId="6F09AB1C" w14:textId="77777777" w:rsidR="00C82388" w:rsidRDefault="00C82388" w:rsidP="00C82388">
      <w:pPr>
        <w:pStyle w:val="af5"/>
        <w:numPr>
          <w:ilvl w:val="0"/>
          <w:numId w:val="8"/>
        </w:numPr>
        <w:spacing w:before="120"/>
        <w:ind w:left="690" w:hanging="240"/>
        <w:rPr>
          <w:rFonts w:ascii="宋体" w:eastAsia="宋体" w:hAnsi="Times New Roman"/>
          <w:color w:val="000000"/>
        </w:rPr>
      </w:pPr>
      <w:r w:rsidRPr="00C82388">
        <w:rPr>
          <w:rFonts w:ascii="宋体" w:eastAsia="宋体" w:hAnsi="Times New Roman" w:hint="eastAsia"/>
          <w:color w:val="000000"/>
        </w:rPr>
        <w:t>代表特来电为其引入鼎晖投资、中国国有企业结构调整基金等战略投资人提供法律服务，特来电是</w:t>
      </w:r>
      <w:r w:rsidRPr="00C82388">
        <w:rPr>
          <w:rFonts w:ascii="宋体" w:eastAsia="宋体" w:hAnsi="Times New Roman"/>
          <w:color w:val="000000"/>
        </w:rPr>
        <w:t>A股上市公司特锐德（股票代码：300001.SZ）的控股子公司，主要从事新能源汽车充电网的建设、运营及互联网的增值服务</w:t>
      </w:r>
    </w:p>
    <w:p w14:paraId="186AFF5C" w14:textId="77777777" w:rsidR="00C82388" w:rsidRDefault="00C82388" w:rsidP="00C82388">
      <w:pPr>
        <w:pStyle w:val="af5"/>
        <w:numPr>
          <w:ilvl w:val="0"/>
          <w:numId w:val="9"/>
        </w:numPr>
        <w:spacing w:before="120"/>
        <w:ind w:left="690" w:hanging="240"/>
        <w:rPr>
          <w:rFonts w:ascii="宋体" w:eastAsia="宋体" w:hAnsi="Times New Roman"/>
          <w:color w:val="000000"/>
        </w:rPr>
      </w:pPr>
      <w:r w:rsidRPr="00C82388">
        <w:rPr>
          <w:rFonts w:ascii="宋体" w:eastAsia="宋体" w:hAnsi="Times New Roman" w:hint="eastAsia"/>
          <w:color w:val="000000"/>
        </w:rPr>
        <w:t>代表蚂蚁金服为其战略投资润和软件（股票代码：</w:t>
      </w:r>
      <w:r w:rsidRPr="00C82388">
        <w:rPr>
          <w:rFonts w:ascii="宋体" w:eastAsia="宋体" w:hAnsi="Times New Roman"/>
          <w:color w:val="000000"/>
        </w:rPr>
        <w:t>300339.SZ）和科蓝软件（股票代码：300663.SZ）提供法律服务</w:t>
      </w:r>
    </w:p>
    <w:p w14:paraId="5AB6D233" w14:textId="77777777" w:rsidR="00C82388" w:rsidRDefault="00C82388" w:rsidP="00C82388">
      <w:pPr>
        <w:pStyle w:val="af5"/>
        <w:numPr>
          <w:ilvl w:val="0"/>
          <w:numId w:val="10"/>
        </w:numPr>
        <w:spacing w:before="120"/>
        <w:ind w:left="690" w:hanging="240"/>
        <w:rPr>
          <w:rFonts w:ascii="宋体" w:eastAsia="宋体" w:hAnsi="Times New Roman"/>
          <w:color w:val="000000"/>
        </w:rPr>
      </w:pPr>
      <w:r w:rsidRPr="00C82388">
        <w:rPr>
          <w:rFonts w:ascii="宋体" w:eastAsia="宋体" w:hAnsi="Times New Roman" w:hint="eastAsia"/>
          <w:color w:val="000000"/>
        </w:rPr>
        <w:t>代表阿里巴巴集团为其战略投资新华都（股票代码：</w:t>
      </w:r>
      <w:r w:rsidRPr="00C82388">
        <w:rPr>
          <w:rFonts w:ascii="宋体" w:eastAsia="宋体" w:hAnsi="Times New Roman"/>
          <w:color w:val="000000"/>
        </w:rPr>
        <w:t>002264.SZ）和万达电影（股票代码：002739.SZ）提供法律服务</w:t>
      </w:r>
    </w:p>
    <w:p w14:paraId="71EC75E3" w14:textId="77777777" w:rsidR="00C82388" w:rsidRDefault="00C82388" w:rsidP="00C82388">
      <w:pPr>
        <w:pStyle w:val="af5"/>
        <w:numPr>
          <w:ilvl w:val="0"/>
          <w:numId w:val="11"/>
        </w:numPr>
        <w:spacing w:before="120"/>
        <w:ind w:left="690" w:hanging="240"/>
        <w:rPr>
          <w:rFonts w:ascii="宋体" w:eastAsia="宋体" w:hAnsi="Times New Roman"/>
          <w:color w:val="000000"/>
        </w:rPr>
      </w:pPr>
      <w:r w:rsidRPr="00C82388">
        <w:rPr>
          <w:rFonts w:ascii="宋体" w:eastAsia="宋体" w:hAnsi="Times New Roman" w:hint="eastAsia"/>
          <w:color w:val="000000"/>
        </w:rPr>
        <w:t>为宝钢股份（股票代码：</w:t>
      </w:r>
      <w:r w:rsidRPr="00C82388">
        <w:rPr>
          <w:rFonts w:ascii="宋体" w:eastAsia="宋体" w:hAnsi="Times New Roman"/>
          <w:color w:val="000000"/>
        </w:rPr>
        <w:t>600019.SH）、锦江投资（股票代码：600650.SH）、佳通轮胎（股票代码：600182.SH）等上市公司投资提供一般公司法律服务</w:t>
      </w:r>
    </w:p>
    <w:p w14:paraId="5BA2AF3D" w14:textId="77777777" w:rsidR="00C82388" w:rsidRDefault="00C82388" w:rsidP="00C82388">
      <w:pPr>
        <w:pStyle w:val="af5"/>
        <w:numPr>
          <w:ilvl w:val="0"/>
          <w:numId w:val="12"/>
        </w:numPr>
        <w:spacing w:before="120"/>
        <w:ind w:left="690" w:hanging="240"/>
        <w:rPr>
          <w:rFonts w:ascii="宋体" w:eastAsia="宋体" w:hAnsi="Times New Roman"/>
          <w:color w:val="000000"/>
        </w:rPr>
      </w:pPr>
      <w:r w:rsidRPr="00C82388">
        <w:rPr>
          <w:rFonts w:ascii="宋体" w:eastAsia="宋体" w:hAnsi="Times New Roman" w:hint="eastAsia"/>
          <w:color w:val="000000"/>
        </w:rPr>
        <w:t>代表西门子为其与上海电气集团设立两家中外合资风电企业以及从该等企业中退出提供法律服务</w:t>
      </w:r>
    </w:p>
    <w:p w14:paraId="1979CB82" w14:textId="77777777" w:rsidR="00C82388" w:rsidRDefault="00C82388" w:rsidP="00C82388">
      <w:pPr>
        <w:pStyle w:val="af5"/>
        <w:numPr>
          <w:ilvl w:val="0"/>
          <w:numId w:val="13"/>
        </w:numPr>
        <w:spacing w:before="120"/>
        <w:ind w:left="690" w:hanging="240"/>
        <w:rPr>
          <w:rFonts w:ascii="宋体" w:eastAsia="宋体" w:hAnsi="Times New Roman"/>
          <w:color w:val="000000"/>
        </w:rPr>
      </w:pPr>
      <w:r w:rsidRPr="00C82388">
        <w:rPr>
          <w:rFonts w:ascii="宋体" w:eastAsia="宋体" w:hAnsi="Times New Roman" w:hint="eastAsia"/>
          <w:color w:val="000000"/>
        </w:rPr>
        <w:t>代表飞利浦为其与中电集团子公司设立中外合资企业提供法律服务</w:t>
      </w:r>
    </w:p>
    <w:p w14:paraId="00CD8911" w14:textId="77777777" w:rsidR="00C82388" w:rsidRDefault="00C82388" w:rsidP="00C82388">
      <w:pPr>
        <w:pStyle w:val="af5"/>
        <w:numPr>
          <w:ilvl w:val="0"/>
          <w:numId w:val="14"/>
        </w:numPr>
        <w:spacing w:before="120"/>
        <w:ind w:left="690" w:hanging="240"/>
        <w:rPr>
          <w:rFonts w:ascii="宋体" w:eastAsia="宋体" w:hAnsi="Times New Roman"/>
          <w:color w:val="000000"/>
        </w:rPr>
      </w:pPr>
      <w:r w:rsidRPr="00C82388">
        <w:rPr>
          <w:rFonts w:ascii="宋体" w:eastAsia="宋体" w:hAnsi="Times New Roman" w:hint="eastAsia"/>
          <w:color w:val="000000"/>
        </w:rPr>
        <w:t>代表通用电气为其在全球收购卡麦隆往复式压缩机业务提供法律服务</w:t>
      </w:r>
    </w:p>
    <w:p w14:paraId="30F5A8E0" w14:textId="77777777" w:rsidR="00C82388" w:rsidRDefault="00C82388" w:rsidP="00C82388">
      <w:pPr>
        <w:pStyle w:val="af5"/>
        <w:numPr>
          <w:ilvl w:val="0"/>
          <w:numId w:val="15"/>
        </w:numPr>
        <w:spacing w:before="120"/>
        <w:ind w:left="690" w:hanging="240"/>
        <w:rPr>
          <w:rFonts w:ascii="宋体" w:eastAsia="宋体" w:hAnsi="Times New Roman"/>
          <w:color w:val="000000"/>
        </w:rPr>
      </w:pPr>
      <w:r w:rsidRPr="00C82388">
        <w:rPr>
          <w:rFonts w:ascii="宋体" w:eastAsia="宋体" w:hAnsi="Times New Roman" w:hint="eastAsia"/>
          <w:color w:val="000000"/>
        </w:rPr>
        <w:t>代表</w:t>
      </w:r>
      <w:r w:rsidRPr="00C82388">
        <w:rPr>
          <w:rFonts w:ascii="宋体" w:eastAsia="宋体" w:hAnsi="Times New Roman"/>
          <w:color w:val="000000"/>
        </w:rPr>
        <w:t>TPG牵头的银团为其对尚华医药的进行私有化提供法律服务</w:t>
      </w:r>
    </w:p>
    <w:p w14:paraId="5DDC2371" w14:textId="77777777" w:rsidR="00C82388" w:rsidRDefault="00C82388" w:rsidP="00C82388">
      <w:pPr>
        <w:pStyle w:val="af5"/>
        <w:numPr>
          <w:ilvl w:val="0"/>
          <w:numId w:val="16"/>
        </w:numPr>
        <w:spacing w:before="120"/>
        <w:ind w:left="690" w:hanging="240"/>
        <w:rPr>
          <w:rFonts w:ascii="宋体" w:eastAsia="宋体" w:hAnsi="Times New Roman"/>
          <w:color w:val="000000"/>
        </w:rPr>
      </w:pPr>
      <w:r w:rsidRPr="00C82388">
        <w:rPr>
          <w:rFonts w:ascii="宋体" w:eastAsia="宋体" w:hAnsi="Times New Roman" w:hint="eastAsia"/>
          <w:color w:val="000000"/>
        </w:rPr>
        <w:t>代表天合光能，为其增发</w:t>
      </w:r>
      <w:r w:rsidRPr="00C82388">
        <w:rPr>
          <w:rFonts w:ascii="宋体" w:eastAsia="宋体" w:hAnsi="Times New Roman"/>
          <w:color w:val="000000"/>
        </w:rPr>
        <w:t>ADS股份、发行可转换债券以及私有化退市提供法律服务</w:t>
      </w:r>
    </w:p>
    <w:p w14:paraId="7C7EE90C" w14:textId="77777777" w:rsidR="00C82388" w:rsidRDefault="00C82388" w:rsidP="00C82388">
      <w:pPr>
        <w:pStyle w:val="af5"/>
        <w:numPr>
          <w:ilvl w:val="0"/>
          <w:numId w:val="17"/>
        </w:numPr>
        <w:spacing w:before="120"/>
        <w:ind w:left="690" w:hanging="240"/>
        <w:rPr>
          <w:rFonts w:ascii="宋体" w:eastAsia="宋体" w:hAnsi="Times New Roman"/>
          <w:color w:val="000000"/>
        </w:rPr>
      </w:pPr>
      <w:r w:rsidRPr="00C82388">
        <w:rPr>
          <w:rFonts w:ascii="宋体" w:eastAsia="宋体" w:hAnsi="Times New Roman" w:hint="eastAsia"/>
          <w:color w:val="000000"/>
        </w:rPr>
        <w:t>代表</w:t>
      </w:r>
      <w:r w:rsidRPr="00C82388">
        <w:rPr>
          <w:rFonts w:ascii="宋体" w:eastAsia="宋体" w:hAnsi="Times New Roman"/>
          <w:color w:val="000000"/>
        </w:rPr>
        <w:t>Covanta，一家在垃圾焚烧发电行业居于领先地位的美国上市公司，为其在中国境内的合资项目提供法律服务</w:t>
      </w:r>
    </w:p>
    <w:p w14:paraId="487CB100" w14:textId="77777777" w:rsidR="00C82388" w:rsidRDefault="00C82388" w:rsidP="00C82388">
      <w:pPr>
        <w:pStyle w:val="af5"/>
        <w:numPr>
          <w:ilvl w:val="0"/>
          <w:numId w:val="18"/>
        </w:numPr>
        <w:spacing w:before="120"/>
        <w:ind w:left="690" w:hanging="240"/>
        <w:rPr>
          <w:rFonts w:ascii="宋体" w:eastAsia="宋体" w:hAnsi="Times New Roman"/>
          <w:color w:val="000000"/>
        </w:rPr>
      </w:pPr>
      <w:r w:rsidRPr="00C82388">
        <w:rPr>
          <w:rFonts w:ascii="宋体" w:eastAsia="宋体" w:hAnsi="Times New Roman" w:hint="eastAsia"/>
          <w:color w:val="000000"/>
        </w:rPr>
        <w:t>作为承销商的中国法律顾问，为大润发、海昌集团在</w:t>
      </w:r>
      <w:r w:rsidRPr="00C82388">
        <w:rPr>
          <w:rFonts w:ascii="宋体" w:eastAsia="宋体" w:hAnsi="Times New Roman"/>
          <w:color w:val="000000"/>
        </w:rPr>
        <w:t>H股上市提供法律服务</w:t>
      </w:r>
    </w:p>
    <w:p w14:paraId="620FFFB7" w14:textId="77777777" w:rsidR="00C82388" w:rsidRDefault="00C82388" w:rsidP="00C82388">
      <w:pPr>
        <w:pStyle w:val="af5"/>
        <w:numPr>
          <w:ilvl w:val="0"/>
          <w:numId w:val="19"/>
        </w:numPr>
        <w:spacing w:before="120"/>
        <w:ind w:left="690" w:hanging="240"/>
        <w:rPr>
          <w:rFonts w:ascii="宋体" w:eastAsia="宋体" w:hAnsi="Times New Roman"/>
          <w:color w:val="000000"/>
        </w:rPr>
      </w:pPr>
      <w:r w:rsidRPr="00C82388">
        <w:rPr>
          <w:rFonts w:ascii="宋体" w:eastAsia="宋体" w:hAnsi="Times New Roman" w:hint="eastAsia"/>
          <w:color w:val="000000"/>
        </w:rPr>
        <w:t>作为承销商的中国法律顾问，为澜起科技、爱康国宾在</w:t>
      </w:r>
      <w:r w:rsidRPr="00C82388">
        <w:rPr>
          <w:rFonts w:ascii="宋体" w:eastAsia="宋体" w:hAnsi="Times New Roman"/>
          <w:color w:val="000000"/>
        </w:rPr>
        <w:t>NASDAQ上市提供法律服务</w:t>
      </w:r>
    </w:p>
    <w:p w14:paraId="26D5F061" w14:textId="77777777" w:rsidR="00C82388" w:rsidRDefault="00C82388" w:rsidP="00C82388">
      <w:pPr>
        <w:pStyle w:val="af5"/>
        <w:numPr>
          <w:ilvl w:val="0"/>
          <w:numId w:val="20"/>
        </w:numPr>
        <w:spacing w:before="120"/>
        <w:ind w:left="690" w:hanging="240"/>
        <w:rPr>
          <w:rFonts w:ascii="宋体" w:eastAsia="宋体" w:hAnsi="Times New Roman"/>
          <w:color w:val="000000"/>
        </w:rPr>
      </w:pPr>
      <w:r w:rsidRPr="00C82388">
        <w:rPr>
          <w:rFonts w:ascii="宋体" w:eastAsia="宋体" w:hAnsi="Times New Roman" w:hint="eastAsia"/>
          <w:color w:val="000000"/>
        </w:rPr>
        <w:t>作为发行人</w:t>
      </w:r>
      <w:r w:rsidRPr="00C82388">
        <w:rPr>
          <w:rFonts w:ascii="宋体" w:eastAsia="宋体" w:hAnsi="Times New Roman"/>
          <w:color w:val="000000"/>
        </w:rPr>
        <w:t>/承销商的中国法律顾问，为光明集团、宝武集团子公司在境外发行债券提供法律服务</w:t>
      </w:r>
    </w:p>
    <w:p w14:paraId="23EA59E2" w14:textId="77777777" w:rsidR="00C82388" w:rsidRDefault="00C82388" w:rsidP="00C82388">
      <w:pPr>
        <w:pStyle w:val="af5"/>
        <w:numPr>
          <w:ilvl w:val="0"/>
          <w:numId w:val="21"/>
        </w:numPr>
        <w:spacing w:before="120"/>
        <w:ind w:left="690" w:hanging="240"/>
        <w:rPr>
          <w:rFonts w:ascii="宋体" w:eastAsia="宋体" w:hAnsi="Times New Roman"/>
          <w:color w:val="000000"/>
        </w:rPr>
      </w:pPr>
      <w:r w:rsidRPr="00C82388">
        <w:rPr>
          <w:rFonts w:ascii="宋体" w:eastAsia="宋体" w:hAnsi="Times New Roman" w:hint="eastAsia"/>
          <w:color w:val="000000"/>
        </w:rPr>
        <w:t>代表众多国内外著名私募投资者，包括凯雷集团、黑石集团、</w:t>
      </w:r>
      <w:r w:rsidRPr="00C82388">
        <w:rPr>
          <w:rFonts w:ascii="宋体" w:eastAsia="宋体" w:hAnsi="Times New Roman"/>
          <w:color w:val="000000"/>
        </w:rPr>
        <w:t>TPG、工银国际、红杉资本、博裕资本、云锋基金、德同资本、春华资本、弘毅资本、远洋资本、北极光等，为其在中国境内的投资提供法律服务</w:t>
      </w:r>
    </w:p>
    <w:p w14:paraId="2CEFB695" w14:textId="77777777" w:rsidR="00C82388" w:rsidRDefault="00C82388" w:rsidP="00C82388">
      <w:pPr>
        <w:pStyle w:val="af5"/>
        <w:numPr>
          <w:ilvl w:val="0"/>
          <w:numId w:val="22"/>
        </w:numPr>
        <w:spacing w:before="120"/>
        <w:ind w:left="690" w:hanging="240"/>
        <w:rPr>
          <w:rFonts w:ascii="宋体" w:eastAsia="宋体" w:hAnsi="Times New Roman"/>
          <w:color w:val="000000"/>
        </w:rPr>
      </w:pPr>
      <w:r w:rsidRPr="00C82388">
        <w:rPr>
          <w:rFonts w:ascii="宋体" w:eastAsia="宋体" w:hAnsi="Times New Roman" w:hint="eastAsia"/>
          <w:color w:val="000000"/>
        </w:rPr>
        <w:t>为多家跨国企业（包括拜耳、</w:t>
      </w:r>
      <w:r w:rsidRPr="00C82388">
        <w:rPr>
          <w:rFonts w:ascii="宋体" w:eastAsia="宋体" w:hAnsi="Times New Roman"/>
          <w:color w:val="000000"/>
        </w:rPr>
        <w:t>Catalent、Optegra、奥斯龙、Herman Miller、PSB集团等）在中国的并购和外商直接投资提供法律服务</w:t>
      </w:r>
    </w:p>
    <w:p w14:paraId="7F201353" w14:textId="77777777" w:rsidR="00C82388" w:rsidRDefault="00C82388" w:rsidP="00C82388">
      <w:pPr>
        <w:pStyle w:val="af5"/>
        <w:numPr>
          <w:ilvl w:val="0"/>
          <w:numId w:val="23"/>
        </w:numPr>
        <w:spacing w:before="120"/>
        <w:ind w:left="690" w:hanging="240"/>
        <w:rPr>
          <w:rFonts w:ascii="宋体" w:eastAsia="宋体" w:hAnsi="Times New Roman"/>
          <w:color w:val="000000"/>
        </w:rPr>
      </w:pPr>
      <w:r w:rsidRPr="00C82388">
        <w:rPr>
          <w:rFonts w:ascii="宋体" w:eastAsia="宋体" w:hAnsi="Times New Roman" w:hint="eastAsia"/>
          <w:color w:val="000000"/>
        </w:rPr>
        <w:t>为多家国内外企业提供一般公司法律服务</w:t>
      </w:r>
    </w:p>
    <w:p w14:paraId="688F0E9B" w14:textId="77777777" w:rsidR="00C82388" w:rsidRDefault="00C82388" w:rsidP="00C82388">
      <w:pPr>
        <w:pStyle w:val="af5"/>
        <w:spacing w:after="0" w:line="480" w:lineRule="auto"/>
        <w:rPr>
          <w:rFonts w:ascii="宋体" w:eastAsia="宋体" w:hAnsi="宋体"/>
          <w:b/>
          <w:sz w:val="24"/>
        </w:rPr>
      </w:pPr>
      <w:r w:rsidRPr="00C82388">
        <w:rPr>
          <w:rFonts w:ascii="宋体" w:eastAsia="宋体" w:hAnsi="宋体" w:hint="eastAsia"/>
          <w:b/>
          <w:sz w:val="24"/>
        </w:rPr>
        <w:t>教育背景</w:t>
      </w:r>
    </w:p>
    <w:p w14:paraId="506EE4AD" w14:textId="77777777" w:rsidR="00C82388" w:rsidRDefault="00C82388" w:rsidP="00C82388">
      <w:pPr>
        <w:pStyle w:val="af5"/>
        <w:numPr>
          <w:ilvl w:val="0"/>
          <w:numId w:val="24"/>
        </w:numPr>
        <w:spacing w:before="120"/>
        <w:ind w:left="690" w:hanging="240"/>
        <w:rPr>
          <w:rFonts w:ascii="宋体" w:eastAsia="宋体" w:hAnsi="Times New Roman"/>
          <w:color w:val="000000"/>
        </w:rPr>
      </w:pPr>
      <w:r w:rsidRPr="00C82388">
        <w:rPr>
          <w:rFonts w:ascii="宋体" w:eastAsia="宋体" w:hAnsi="Times New Roman" w:hint="eastAsia"/>
          <w:color w:val="000000"/>
        </w:rPr>
        <w:t>复旦大学，法学硕士</w:t>
      </w:r>
    </w:p>
    <w:p w14:paraId="78E054DB" w14:textId="77777777" w:rsidR="00C82388" w:rsidRDefault="00C82388" w:rsidP="00C82388">
      <w:pPr>
        <w:pStyle w:val="af5"/>
        <w:numPr>
          <w:ilvl w:val="0"/>
          <w:numId w:val="25"/>
        </w:numPr>
        <w:spacing w:before="120"/>
        <w:ind w:left="690" w:hanging="240"/>
        <w:rPr>
          <w:rFonts w:ascii="宋体" w:eastAsia="宋体" w:hAnsi="Times New Roman"/>
          <w:color w:val="000000"/>
        </w:rPr>
      </w:pPr>
      <w:r w:rsidRPr="00C82388">
        <w:rPr>
          <w:rFonts w:ascii="宋体" w:eastAsia="宋体" w:hAnsi="Times New Roman" w:hint="eastAsia"/>
          <w:color w:val="000000"/>
        </w:rPr>
        <w:t>华东政法大学，法学学士</w:t>
      </w:r>
    </w:p>
    <w:p w14:paraId="263CF4BF" w14:textId="77777777" w:rsidR="00C82388" w:rsidRDefault="00C82388" w:rsidP="00C82388">
      <w:pPr>
        <w:pStyle w:val="af5"/>
        <w:spacing w:after="0" w:line="480" w:lineRule="auto"/>
        <w:rPr>
          <w:rFonts w:ascii="宋体" w:eastAsia="宋体" w:hAnsi="宋体"/>
          <w:b/>
          <w:sz w:val="24"/>
        </w:rPr>
      </w:pPr>
      <w:r w:rsidRPr="00C82388">
        <w:rPr>
          <w:rFonts w:ascii="宋体" w:eastAsia="宋体" w:hAnsi="宋体" w:hint="eastAsia"/>
          <w:b/>
          <w:sz w:val="24"/>
        </w:rPr>
        <w:t>执业资格</w:t>
      </w:r>
    </w:p>
    <w:p w14:paraId="4F0A196B" w14:textId="0B860F25" w:rsidR="00A46A04" w:rsidRPr="00C82388" w:rsidRDefault="00C82388" w:rsidP="00C82388">
      <w:pPr>
        <w:pStyle w:val="af5"/>
        <w:numPr>
          <w:ilvl w:val="0"/>
          <w:numId w:val="26"/>
        </w:numPr>
        <w:spacing w:before="120"/>
        <w:ind w:left="690" w:hanging="240"/>
        <w:rPr>
          <w:rFonts w:ascii="宋体" w:eastAsia="宋体" w:hAnsi="Times New Roman"/>
          <w:color w:val="000000"/>
        </w:rPr>
      </w:pPr>
      <w:r w:rsidRPr="00C82388">
        <w:rPr>
          <w:rFonts w:ascii="宋体" w:eastAsia="宋体" w:hAnsi="Times New Roman" w:hint="eastAsia"/>
          <w:color w:val="000000"/>
        </w:rPr>
        <w:t>中华人民共和国执业律师</w:t>
      </w:r>
    </w:p>
    <w:sectPr w:rsidR="00A46A04" w:rsidRPr="00C8238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C02"/>
    <w:multiLevelType w:val="singleLevel"/>
    <w:tmpl w:val="996415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E3639"/>
    <w:multiLevelType w:val="singleLevel"/>
    <w:tmpl w:val="219E06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E0498"/>
    <w:multiLevelType w:val="singleLevel"/>
    <w:tmpl w:val="1A9896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BD209E"/>
    <w:multiLevelType w:val="singleLevel"/>
    <w:tmpl w:val="24E84D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800A90"/>
    <w:multiLevelType w:val="singleLevel"/>
    <w:tmpl w:val="ACACAF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E03A13"/>
    <w:multiLevelType w:val="singleLevel"/>
    <w:tmpl w:val="61FEB4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EA6647"/>
    <w:multiLevelType w:val="singleLevel"/>
    <w:tmpl w:val="A51E08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402177"/>
    <w:multiLevelType w:val="singleLevel"/>
    <w:tmpl w:val="71DA55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2E0677"/>
    <w:multiLevelType w:val="singleLevel"/>
    <w:tmpl w:val="93FE08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6C34D9"/>
    <w:multiLevelType w:val="singleLevel"/>
    <w:tmpl w:val="80CCA7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C7591C"/>
    <w:multiLevelType w:val="singleLevel"/>
    <w:tmpl w:val="FE32927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AF5BA0"/>
    <w:multiLevelType w:val="singleLevel"/>
    <w:tmpl w:val="886890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CF1553"/>
    <w:multiLevelType w:val="singleLevel"/>
    <w:tmpl w:val="F51A67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6354B5"/>
    <w:multiLevelType w:val="singleLevel"/>
    <w:tmpl w:val="61FEB4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F17D68"/>
    <w:multiLevelType w:val="singleLevel"/>
    <w:tmpl w:val="386E34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50CF61C6"/>
    <w:multiLevelType w:val="singleLevel"/>
    <w:tmpl w:val="B3A2EE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62426D"/>
    <w:multiLevelType w:val="singleLevel"/>
    <w:tmpl w:val="BD3ADB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FA04F0"/>
    <w:multiLevelType w:val="singleLevel"/>
    <w:tmpl w:val="AD2866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012D63"/>
    <w:multiLevelType w:val="singleLevel"/>
    <w:tmpl w:val="7794E8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0310FB"/>
    <w:multiLevelType w:val="singleLevel"/>
    <w:tmpl w:val="F5B6C7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97C0A88"/>
    <w:multiLevelType w:val="singleLevel"/>
    <w:tmpl w:val="A4D275D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2E4AD4"/>
    <w:multiLevelType w:val="singleLevel"/>
    <w:tmpl w:val="2B98B7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5F79C8"/>
    <w:multiLevelType w:val="singleLevel"/>
    <w:tmpl w:val="A336FF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565DFC"/>
    <w:multiLevelType w:val="singleLevel"/>
    <w:tmpl w:val="1B12F3E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25"/>
  </w:num>
  <w:num w:numId="4">
    <w:abstractNumId w:val="24"/>
  </w:num>
  <w:num w:numId="5">
    <w:abstractNumId w:val="8"/>
  </w:num>
  <w:num w:numId="6">
    <w:abstractNumId w:val="23"/>
  </w:num>
  <w:num w:numId="7">
    <w:abstractNumId w:val="22"/>
  </w:num>
  <w:num w:numId="8">
    <w:abstractNumId w:val="4"/>
  </w:num>
  <w:num w:numId="9">
    <w:abstractNumId w:val="7"/>
  </w:num>
  <w:num w:numId="10">
    <w:abstractNumId w:val="6"/>
  </w:num>
  <w:num w:numId="11">
    <w:abstractNumId w:val="12"/>
  </w:num>
  <w:num w:numId="12">
    <w:abstractNumId w:val="19"/>
  </w:num>
  <w:num w:numId="13">
    <w:abstractNumId w:val="15"/>
  </w:num>
  <w:num w:numId="14">
    <w:abstractNumId w:val="2"/>
  </w:num>
  <w:num w:numId="15">
    <w:abstractNumId w:val="1"/>
  </w:num>
  <w:num w:numId="16">
    <w:abstractNumId w:val="17"/>
  </w:num>
  <w:num w:numId="17">
    <w:abstractNumId w:val="3"/>
  </w:num>
  <w:num w:numId="18">
    <w:abstractNumId w:val="0"/>
  </w:num>
  <w:num w:numId="19">
    <w:abstractNumId w:val="9"/>
  </w:num>
  <w:num w:numId="20">
    <w:abstractNumId w:val="13"/>
  </w:num>
  <w:num w:numId="21">
    <w:abstractNumId w:val="10"/>
  </w:num>
  <w:num w:numId="22">
    <w:abstractNumId w:val="20"/>
  </w:num>
  <w:num w:numId="23">
    <w:abstractNumId w:val="21"/>
  </w:num>
  <w:num w:numId="24">
    <w:abstractNumId w:val="18"/>
  </w:num>
  <w:num w:numId="25">
    <w:abstractNumId w:val="5"/>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82388"/>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82388"/>
    <w:pPr>
      <w:spacing w:after="120"/>
    </w:pPr>
  </w:style>
  <w:style w:type="character" w:customStyle="1" w:styleId="af6">
    <w:name w:val="正文文本 字符"/>
    <w:basedOn w:val="a0"/>
    <w:link w:val="af5"/>
    <w:uiPriority w:val="99"/>
    <w:rsid w:val="00C8238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ED62A-6B20-4F62-9B00-2F5858AF9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2026-07-06T22:35:00Z</dcterms:created>
  <dcterms:modified xsi:type="dcterms:W3CDTF">2026-07-06T22:35:00Z</dcterms:modified>
</cp:coreProperties>
</file>