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1C39BA4" w:rsidR="0049405C" w:rsidRPr="00187BAA" w:rsidRDefault="00504E74" w:rsidP="00504E74">
            <w:pPr>
              <w:spacing w:line="720" w:lineRule="auto"/>
              <w:rPr>
                <w:rFonts w:ascii="宋体" w:eastAsia="宋体" w:hAnsi="宋体"/>
                <w:color w:val="545551"/>
              </w:rPr>
            </w:pPr>
            <w:bookmarkStart w:id="0" w:name="xingming"/>
            <w:bookmarkStart w:id="1" w:name="_GoBack"/>
            <w:bookmarkEnd w:id="1"/>
            <w:r w:rsidRPr="00504E74">
              <w:rPr>
                <w:rFonts w:ascii="宋体" w:eastAsia="宋体" w:hAnsi="Times New Roman" w:hint="eastAsia"/>
                <w:b/>
                <w:color w:val="000000"/>
                <w:sz w:val="48"/>
              </w:rPr>
              <w:t>李娜</w:t>
            </w:r>
            <w:bookmarkEnd w:id="0"/>
          </w:p>
          <w:p w14:paraId="706EB16B" w14:textId="3836A63D" w:rsidR="0049405C" w:rsidRPr="00187BAA" w:rsidRDefault="00504E74" w:rsidP="00504E74">
            <w:pPr>
              <w:spacing w:line="360" w:lineRule="auto"/>
              <w:rPr>
                <w:rFonts w:ascii="宋体" w:eastAsia="宋体" w:hAnsi="宋体"/>
                <w:b/>
                <w:bCs/>
                <w:color w:val="545551"/>
              </w:rPr>
            </w:pPr>
            <w:bookmarkStart w:id="2" w:name="didian"/>
            <w:r w:rsidRPr="00504E74">
              <w:rPr>
                <w:rFonts w:ascii="宋体" w:eastAsia="宋体" w:hAnsi="Times New Roman" w:hint="eastAsia"/>
                <w:b/>
                <w:bCs/>
                <w:color w:val="000000"/>
              </w:rPr>
              <w:t>合伙人·上海</w:t>
            </w:r>
            <w:bookmarkEnd w:id="2"/>
          </w:p>
          <w:p w14:paraId="6199424A" w14:textId="23944CD3" w:rsidR="0049405C" w:rsidRPr="00187BAA" w:rsidRDefault="00504E74" w:rsidP="00504E74">
            <w:pPr>
              <w:spacing w:line="360" w:lineRule="auto"/>
              <w:rPr>
                <w:rFonts w:ascii="宋体" w:eastAsia="宋体" w:hAnsi="宋体"/>
                <w:color w:val="545551"/>
              </w:rPr>
            </w:pPr>
            <w:bookmarkStart w:id="3" w:name="dianhua"/>
            <w:r w:rsidRPr="00504E74">
              <w:rPr>
                <w:rFonts w:ascii="宋体" w:eastAsia="宋体" w:hAnsi="Times New Roman"/>
                <w:color w:val="000000"/>
              </w:rPr>
              <w:t xml:space="preserve">+86 21 2208 1155 </w:t>
            </w:r>
            <w:bookmarkEnd w:id="3"/>
          </w:p>
          <w:p w14:paraId="4F910ACA" w14:textId="0B540C41" w:rsidR="0049405C" w:rsidRPr="00187BAA" w:rsidRDefault="00504E74" w:rsidP="00504E74">
            <w:pPr>
              <w:spacing w:line="360" w:lineRule="auto"/>
              <w:rPr>
                <w:rFonts w:ascii="宋体" w:eastAsia="宋体" w:hAnsi="宋体"/>
                <w:color w:val="000000"/>
              </w:rPr>
            </w:pPr>
            <w:bookmarkStart w:id="4" w:name="youxiang"/>
            <w:r w:rsidRPr="00504E74">
              <w:rPr>
                <w:rFonts w:ascii="宋体" w:eastAsia="宋体" w:hAnsi="Times New Roman"/>
                <w:color w:val="000000"/>
              </w:rPr>
              <w:t>diana.li@fangdalaw.com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9DB30F9" w:rsidR="0049405C" w:rsidRPr="00187BAA" w:rsidRDefault="00504E74"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68F2B5F1" wp14:editId="2B46D2A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BBA29D5" w:rsidR="009465FB" w:rsidRPr="00187BAA" w:rsidRDefault="00504E74" w:rsidP="007177F3">
            <w:pPr>
              <w:rPr>
                <w:rFonts w:ascii="宋体" w:eastAsia="宋体" w:hAnsi="宋体"/>
                <w:color w:val="000000"/>
                <w:szCs w:val="21"/>
              </w:rPr>
            </w:pPr>
            <w:bookmarkStart w:id="6" w:name="zhiyelingyu"/>
            <w:r w:rsidRPr="00504E74">
              <w:rPr>
                <w:rFonts w:ascii="宋体" w:eastAsia="宋体" w:hAnsi="Times New Roman" w:hint="eastAsia"/>
                <w:color w:val="000000"/>
                <w:szCs w:val="21"/>
              </w:rPr>
              <w:t>李娜律师擅长并购、私募股权</w:t>
            </w:r>
            <w:r w:rsidRPr="00504E74">
              <w:rPr>
                <w:rFonts w:ascii="宋体" w:eastAsia="宋体" w:hAnsi="Times New Roman"/>
                <w:color w:val="000000"/>
                <w:szCs w:val="21"/>
              </w:rPr>
              <w:t>/风险投资、许可与合作、外商直接投资、首次公开发行、一般公司事务及监管合规事宜。她致力于为医药、生物技术、医疗器械及其他医疗健康行业客户提供法律服务，并经常代表机构投资者。</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1721299F" w14:textId="77777777" w:rsidR="00504E74"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E907A8E" w14:textId="77777777" w:rsidR="00504E74" w:rsidRDefault="00504E74" w:rsidP="00504E74">
      <w:pPr>
        <w:pStyle w:val="af5"/>
        <w:spacing w:before="120"/>
        <w:rPr>
          <w:rFonts w:ascii="宋体" w:eastAsia="宋体" w:hAnsi="Times New Roman"/>
          <w:color w:val="000000"/>
        </w:rPr>
      </w:pPr>
      <w:r w:rsidRPr="00504E74">
        <w:rPr>
          <w:rFonts w:ascii="宋体" w:eastAsia="宋体" w:hAnsi="Times New Roman" w:hint="eastAsia"/>
          <w:color w:val="000000"/>
        </w:rPr>
        <w:t>李律师为进入中国的跨国企业提供法律服务，尤为擅长为中国企业“走出去”提供支持——包括对外许可、跨境合作、离岸资本市场交易及战略投资等。她以务实的工作风格和对生命科学行业的深刻理解著称，在交易架构设计、尽职调查、谈判、交割后整合及监管合规等方面为客户提供全程指导。</w:t>
      </w:r>
    </w:p>
    <w:p w14:paraId="10ED6BF2" w14:textId="77777777" w:rsidR="00504E74" w:rsidRDefault="00504E74" w:rsidP="00504E74">
      <w:pPr>
        <w:pStyle w:val="af5"/>
        <w:spacing w:after="0" w:line="480" w:lineRule="auto"/>
        <w:rPr>
          <w:rFonts w:ascii="宋体" w:eastAsia="宋体" w:hAnsi="宋体"/>
          <w:b/>
          <w:sz w:val="24"/>
        </w:rPr>
      </w:pPr>
      <w:r w:rsidRPr="00504E74">
        <w:rPr>
          <w:rFonts w:ascii="宋体" w:eastAsia="宋体" w:hAnsi="宋体" w:hint="eastAsia"/>
          <w:b/>
          <w:sz w:val="24"/>
        </w:rPr>
        <w:t>近期代理的主要案件</w:t>
      </w:r>
    </w:p>
    <w:p w14:paraId="7DEBA50D" w14:textId="77777777" w:rsidR="00504E74" w:rsidRDefault="00504E74" w:rsidP="00504E74">
      <w:pPr>
        <w:pStyle w:val="af5"/>
        <w:spacing w:before="120"/>
        <w:rPr>
          <w:rFonts w:ascii="宋体" w:eastAsia="宋体" w:hAnsi="Times New Roman"/>
          <w:color w:val="000000"/>
        </w:rPr>
      </w:pPr>
      <w:r w:rsidRPr="00504E74">
        <w:rPr>
          <w:rFonts w:ascii="宋体" w:eastAsia="宋体" w:hAnsi="Times New Roman" w:hint="eastAsia"/>
          <w:color w:val="000000"/>
        </w:rPr>
        <w:t>许可、合作及商业化</w:t>
      </w:r>
    </w:p>
    <w:p w14:paraId="0A524AB8" w14:textId="77777777" w:rsidR="00504E74" w:rsidRDefault="00504E74" w:rsidP="00504E74">
      <w:pPr>
        <w:pStyle w:val="af5"/>
        <w:numPr>
          <w:ilvl w:val="0"/>
          <w:numId w:val="4"/>
        </w:numPr>
        <w:spacing w:before="120"/>
        <w:ind w:left="690" w:hanging="240"/>
        <w:rPr>
          <w:rFonts w:ascii="宋体" w:eastAsia="宋体" w:hAnsi="Times New Roman"/>
          <w:color w:val="000000"/>
        </w:rPr>
      </w:pPr>
      <w:r w:rsidRPr="00504E74">
        <w:rPr>
          <w:rFonts w:ascii="宋体" w:eastAsia="宋体" w:hAnsi="Times New Roman" w:hint="eastAsia"/>
          <w:color w:val="000000"/>
        </w:rPr>
        <w:t>为</w:t>
      </w:r>
      <w:r w:rsidRPr="00504E74">
        <w:rPr>
          <w:rFonts w:ascii="宋体" w:eastAsia="宋体" w:hAnsi="Times New Roman"/>
          <w:color w:val="000000"/>
        </w:rPr>
        <w:t>XtalPi（HKEX: 2228）就与Dovetree（由美国传奇生物科技企业家及投资人Gregory Verdine创立的公司）之间的合作协议提供法律服务。根据该协议，XtalPi将利用其集成AI与机器人技术的端到端AI药物发现平台，针对Dovetree选定的多个靶点，发现并开发小分子和抗体候选药物。该合作下，潜在总金额最高可达约59.9亿美元。</w:t>
      </w:r>
    </w:p>
    <w:p w14:paraId="26E14C8C" w14:textId="77777777" w:rsidR="00504E74" w:rsidRDefault="00504E74" w:rsidP="00504E74">
      <w:pPr>
        <w:pStyle w:val="af5"/>
        <w:numPr>
          <w:ilvl w:val="0"/>
          <w:numId w:val="5"/>
        </w:numPr>
        <w:spacing w:before="120"/>
        <w:ind w:left="690" w:hanging="240"/>
        <w:rPr>
          <w:rFonts w:ascii="宋体" w:eastAsia="宋体" w:hAnsi="Times New Roman"/>
          <w:color w:val="000000"/>
        </w:rPr>
      </w:pPr>
      <w:r w:rsidRPr="00504E74">
        <w:rPr>
          <w:rFonts w:ascii="宋体" w:eastAsia="宋体" w:hAnsi="Times New Roman" w:hint="eastAsia"/>
          <w:color w:val="000000"/>
        </w:rPr>
        <w:t>代表云顶新耀（</w:t>
      </w:r>
      <w:r w:rsidRPr="00504E74">
        <w:rPr>
          <w:rFonts w:ascii="宋体" w:eastAsia="宋体" w:hAnsi="Times New Roman"/>
          <w:color w:val="000000"/>
        </w:rPr>
        <w:t>HKEX:1952）与箕星药业香港有限公司签署资产收购协议，获得艾曲帕米（Etripamil）鼻喷雾剂（拟定中文商品名：星必妥</w:t>
      </w:r>
      <w:r w:rsidRPr="00504E74">
        <w:rPr>
          <w:rFonts w:ascii="宋体" w:eastAsia="宋体" w:hAnsi="Times New Roman"/>
          <w:color w:val="000000"/>
        </w:rPr>
        <w:t>®</w:t>
      </w:r>
      <w:r w:rsidRPr="00504E74">
        <w:rPr>
          <w:rFonts w:ascii="宋体" w:eastAsia="宋体" w:hAnsi="Times New Roman"/>
          <w:color w:val="000000"/>
        </w:rPr>
        <w:t>）在大中华区的开发、商业化及产品地产化权益。</w:t>
      </w:r>
    </w:p>
    <w:p w14:paraId="2AC78D99" w14:textId="77777777" w:rsidR="00504E74" w:rsidRDefault="00504E74" w:rsidP="00504E74">
      <w:pPr>
        <w:pStyle w:val="af5"/>
        <w:numPr>
          <w:ilvl w:val="0"/>
          <w:numId w:val="6"/>
        </w:numPr>
        <w:spacing w:before="120"/>
        <w:ind w:left="690" w:hanging="240"/>
        <w:rPr>
          <w:rFonts w:ascii="宋体" w:eastAsia="宋体" w:hAnsi="Times New Roman"/>
          <w:color w:val="000000"/>
        </w:rPr>
      </w:pPr>
      <w:r w:rsidRPr="00504E74">
        <w:rPr>
          <w:rFonts w:ascii="宋体" w:eastAsia="宋体" w:hAnsi="Times New Roman" w:hint="eastAsia"/>
          <w:color w:val="000000"/>
        </w:rPr>
        <w:t>代表云顶新耀（</w:t>
      </w:r>
      <w:r w:rsidRPr="00504E74">
        <w:rPr>
          <w:rFonts w:ascii="宋体" w:eastAsia="宋体" w:hAnsi="Times New Roman"/>
          <w:color w:val="000000"/>
        </w:rPr>
        <w:t>HKEX: 1952）与箕星药业达成资产收购协议，获得LNZ100（1.44%醋克利定，美国商品名VIZZ）在大中华区（含中国大陆、港、澳、台）的开发、生产与商业化权益，并支付首付款及开发里程碑付款。</w:t>
      </w:r>
    </w:p>
    <w:p w14:paraId="3DE8769B" w14:textId="77777777" w:rsidR="00504E74" w:rsidRDefault="00504E74" w:rsidP="00504E74">
      <w:pPr>
        <w:pStyle w:val="af5"/>
        <w:numPr>
          <w:ilvl w:val="0"/>
          <w:numId w:val="7"/>
        </w:numPr>
        <w:spacing w:before="120"/>
        <w:ind w:left="690" w:hanging="240"/>
        <w:rPr>
          <w:rFonts w:ascii="宋体" w:eastAsia="宋体" w:hAnsi="Times New Roman"/>
          <w:color w:val="000000"/>
        </w:rPr>
      </w:pPr>
      <w:r w:rsidRPr="00504E74">
        <w:rPr>
          <w:rFonts w:ascii="宋体" w:eastAsia="宋体" w:hAnsi="Times New Roman" w:hint="eastAsia"/>
          <w:color w:val="000000"/>
        </w:rPr>
        <w:t>代表云顶新耀（</w:t>
      </w:r>
      <w:r w:rsidRPr="00504E74">
        <w:rPr>
          <w:rFonts w:ascii="宋体" w:eastAsia="宋体" w:hAnsi="Times New Roman"/>
          <w:color w:val="000000"/>
        </w:rPr>
        <w:t>HKEX：1952）与海森生物签署商业化服务协议，云顶新耀为海森生物旗下六款成熟产品提供商业化服务，授权许可协议则获得莱达西贝普（Lerodalcibep）在大中华区的后续临床开发、注册和商业化独家许可。</w:t>
      </w:r>
    </w:p>
    <w:p w14:paraId="0EB122AF" w14:textId="77777777" w:rsidR="00504E74" w:rsidRDefault="00504E74" w:rsidP="00504E74">
      <w:pPr>
        <w:pStyle w:val="af5"/>
        <w:numPr>
          <w:ilvl w:val="0"/>
          <w:numId w:val="8"/>
        </w:numPr>
        <w:spacing w:before="120"/>
        <w:ind w:left="690" w:hanging="240"/>
        <w:rPr>
          <w:rFonts w:ascii="宋体" w:eastAsia="宋体" w:hAnsi="Times New Roman"/>
          <w:color w:val="000000"/>
        </w:rPr>
      </w:pPr>
      <w:r w:rsidRPr="00504E74">
        <w:rPr>
          <w:rFonts w:ascii="宋体" w:eastAsia="宋体" w:hAnsi="Times New Roman" w:hint="eastAsia"/>
          <w:color w:val="000000"/>
        </w:rPr>
        <w:t>代表派格生物</w:t>
      </w:r>
      <w:r w:rsidRPr="00504E74">
        <w:rPr>
          <w:rFonts w:ascii="宋体" w:eastAsia="宋体" w:hAnsi="Times New Roman"/>
          <w:color w:val="000000"/>
        </w:rPr>
        <w:t>(HKEX: 2565）就与上海腾瑞制药股份有限公司签署独家商业化合作协议提供法律服务。根据该协议，腾瑞制药获得派格生物自主研发的国家1类新药维培那肽注射液（派达康</w:t>
      </w:r>
      <w:r w:rsidRPr="00504E74">
        <w:rPr>
          <w:rFonts w:ascii="宋体" w:eastAsia="宋体" w:hAnsi="Times New Roman"/>
          <w:color w:val="000000"/>
        </w:rPr>
        <w:t>®</w:t>
      </w:r>
      <w:r w:rsidRPr="00504E74">
        <w:rPr>
          <w:rFonts w:ascii="宋体" w:eastAsia="宋体" w:hAnsi="Times New Roman"/>
          <w:color w:val="000000"/>
        </w:rPr>
        <w:t xml:space="preserve"> / PB-119）在中国大陆地区的独家商业化权益，该药为长效GLP-1受体激动剂，用于2型糖尿病治疗。</w:t>
      </w:r>
    </w:p>
    <w:p w14:paraId="1DBF26EE" w14:textId="77777777" w:rsidR="00504E74" w:rsidRDefault="00504E74" w:rsidP="00504E74">
      <w:pPr>
        <w:pStyle w:val="af5"/>
        <w:numPr>
          <w:ilvl w:val="0"/>
          <w:numId w:val="9"/>
        </w:numPr>
        <w:spacing w:before="120"/>
        <w:ind w:left="690" w:hanging="240"/>
        <w:rPr>
          <w:rFonts w:ascii="宋体" w:eastAsia="宋体" w:hAnsi="Times New Roman"/>
          <w:color w:val="000000"/>
        </w:rPr>
      </w:pPr>
      <w:r w:rsidRPr="00504E74">
        <w:rPr>
          <w:rFonts w:ascii="宋体" w:eastAsia="宋体" w:hAnsi="Times New Roman" w:hint="eastAsia"/>
          <w:color w:val="000000"/>
        </w:rPr>
        <w:t>协助神基制药与昌郁医药达成独家许可协议，获得</w:t>
      </w:r>
      <w:r w:rsidRPr="00504E74">
        <w:rPr>
          <w:rFonts w:ascii="宋体" w:eastAsia="宋体" w:hAnsi="Times New Roman"/>
          <w:color w:val="000000"/>
        </w:rPr>
        <w:t>XG005在中国大陆、香港和澳门的开发、注册、生产和商业化权利。XG005是一款口服非阿片类创新镇痛药物。</w:t>
      </w:r>
    </w:p>
    <w:p w14:paraId="3411C8B6" w14:textId="77777777" w:rsidR="00504E74" w:rsidRDefault="00504E74" w:rsidP="00504E74">
      <w:pPr>
        <w:pStyle w:val="af5"/>
        <w:numPr>
          <w:ilvl w:val="0"/>
          <w:numId w:val="10"/>
        </w:numPr>
        <w:spacing w:before="120"/>
        <w:ind w:left="690" w:hanging="240"/>
        <w:rPr>
          <w:rFonts w:ascii="宋体" w:eastAsia="宋体" w:hAnsi="Times New Roman"/>
          <w:color w:val="000000"/>
        </w:rPr>
      </w:pPr>
      <w:r w:rsidRPr="00504E74">
        <w:rPr>
          <w:rFonts w:ascii="宋体" w:eastAsia="宋体" w:hAnsi="Times New Roman" w:hint="eastAsia"/>
          <w:color w:val="000000"/>
        </w:rPr>
        <w:t>协助神基制药与湖州惠中济世生物科技有限公司签署资产收购协议，收购标的</w:t>
      </w:r>
      <w:r w:rsidRPr="00504E74">
        <w:rPr>
          <w:rFonts w:ascii="宋体" w:eastAsia="宋体" w:hAnsi="Times New Roman"/>
          <w:color w:val="000000"/>
        </w:rPr>
        <w:t>NG1806是一款在研的术后镇痛创新药，被定位为</w:t>
      </w:r>
      <w:r w:rsidRPr="00504E74">
        <w:rPr>
          <w:rFonts w:ascii="宋体" w:eastAsia="宋体" w:hAnsi="Times New Roman"/>
          <w:color w:val="000000"/>
        </w:rPr>
        <w:t>“</w:t>
      </w:r>
      <w:r w:rsidRPr="00504E74">
        <w:rPr>
          <w:rFonts w:ascii="宋体" w:eastAsia="宋体" w:hAnsi="Times New Roman"/>
          <w:color w:val="000000"/>
        </w:rPr>
        <w:t>中国首个同类双机制长效疼痛管理药</w:t>
      </w:r>
      <w:r w:rsidRPr="00504E74">
        <w:rPr>
          <w:rFonts w:ascii="宋体" w:eastAsia="宋体" w:hAnsi="Times New Roman"/>
          <w:color w:val="000000"/>
        </w:rPr>
        <w:t>”</w:t>
      </w:r>
      <w:r w:rsidRPr="00504E74">
        <w:rPr>
          <w:rFonts w:ascii="宋体" w:eastAsia="宋体" w:hAnsi="Times New Roman"/>
          <w:color w:val="000000"/>
        </w:rPr>
        <w:t>。该药物能协同结合抗炎和镇痛通路，在有效减少疼痛的同时，减少阿片类药物的使用。</w:t>
      </w:r>
    </w:p>
    <w:p w14:paraId="57AD48A1" w14:textId="77777777" w:rsidR="00504E74" w:rsidRDefault="00504E74" w:rsidP="00504E74">
      <w:pPr>
        <w:pStyle w:val="af5"/>
        <w:numPr>
          <w:ilvl w:val="0"/>
          <w:numId w:val="11"/>
        </w:numPr>
        <w:spacing w:before="120"/>
        <w:ind w:left="690" w:hanging="240"/>
        <w:rPr>
          <w:rFonts w:ascii="宋体" w:eastAsia="宋体" w:hAnsi="Times New Roman"/>
          <w:color w:val="000000"/>
        </w:rPr>
      </w:pPr>
      <w:r w:rsidRPr="00504E74">
        <w:rPr>
          <w:rFonts w:ascii="宋体" w:eastAsia="宋体" w:hAnsi="Times New Roman" w:hint="eastAsia"/>
          <w:color w:val="000000"/>
        </w:rPr>
        <w:t>协助神基制药与安必生签署营销授权转让协议，获得左乙拉西坦缓释制剂（开浦兰</w:t>
      </w:r>
      <w:r w:rsidRPr="00504E74">
        <w:rPr>
          <w:rFonts w:ascii="宋体" w:eastAsia="宋体" w:hAnsi="Times New Roman"/>
          <w:color w:val="000000"/>
        </w:rPr>
        <w:t>SR）在中国大陆的营销授权、专利、商业秘密及相关知识产权。</w:t>
      </w:r>
    </w:p>
    <w:p w14:paraId="0224B9A7" w14:textId="77777777" w:rsidR="00504E74" w:rsidRDefault="00504E74" w:rsidP="00504E74">
      <w:pPr>
        <w:pStyle w:val="af5"/>
        <w:numPr>
          <w:ilvl w:val="0"/>
          <w:numId w:val="12"/>
        </w:numPr>
        <w:spacing w:before="120"/>
        <w:ind w:left="690" w:hanging="240"/>
        <w:rPr>
          <w:rFonts w:ascii="宋体" w:eastAsia="宋体" w:hAnsi="Times New Roman"/>
          <w:color w:val="000000"/>
        </w:rPr>
      </w:pPr>
      <w:r w:rsidRPr="00504E74">
        <w:rPr>
          <w:rFonts w:ascii="宋体" w:eastAsia="宋体" w:hAnsi="Times New Roman" w:hint="eastAsia"/>
          <w:color w:val="000000"/>
        </w:rPr>
        <w:t>协助全球诊断解决方案提供商快奥森多（</w:t>
      </w:r>
      <w:r w:rsidRPr="00504E74">
        <w:rPr>
          <w:rFonts w:ascii="宋体" w:eastAsia="宋体" w:hAnsi="Times New Roman"/>
          <w:color w:val="000000"/>
        </w:rPr>
        <w:t>QuidelOrtho，纳斯达克股票代码：QDEL） 与深圳普门科技股份有限公司（股票代码：688389） 宣布达成一项长期战略供应协议，快奥森多将获得普门科技提供的多款高通量及中低通量免疫检测分析仪平台。商业化推广的核心市场将覆盖欧洲、中东、非洲、墨西哥、中美洲、南美洲、印度、中国、日本及其他亚太地区。</w:t>
      </w:r>
    </w:p>
    <w:p w14:paraId="47005F06" w14:textId="77777777" w:rsidR="00504E74" w:rsidRDefault="00504E74" w:rsidP="00504E74">
      <w:pPr>
        <w:pStyle w:val="af5"/>
        <w:numPr>
          <w:ilvl w:val="0"/>
          <w:numId w:val="13"/>
        </w:numPr>
        <w:spacing w:before="120"/>
        <w:ind w:left="690" w:hanging="240"/>
        <w:rPr>
          <w:rFonts w:ascii="宋体" w:eastAsia="宋体" w:hAnsi="Times New Roman"/>
          <w:color w:val="000000"/>
        </w:rPr>
      </w:pPr>
      <w:r w:rsidRPr="00504E74">
        <w:rPr>
          <w:rFonts w:ascii="宋体" w:eastAsia="宋体" w:hAnsi="Times New Roman" w:hint="eastAsia"/>
          <w:color w:val="000000"/>
        </w:rPr>
        <w:t>代表信念生物就</w:t>
      </w:r>
      <w:r w:rsidRPr="00504E74">
        <w:rPr>
          <w:rFonts w:ascii="宋体" w:eastAsia="宋体" w:hAnsi="Times New Roman"/>
          <w:color w:val="000000"/>
        </w:rPr>
        <w:t>BBM H901（新吉宁</w:t>
      </w:r>
      <w:r w:rsidRPr="00504E74">
        <w:rPr>
          <w:rFonts w:ascii="宋体" w:eastAsia="宋体" w:hAnsi="Times New Roman"/>
          <w:color w:val="000000"/>
        </w:rPr>
        <w:t>®</w:t>
      </w:r>
      <w:r w:rsidRPr="00504E74">
        <w:rPr>
          <w:rFonts w:ascii="宋体" w:eastAsia="宋体" w:hAnsi="Times New Roman"/>
          <w:color w:val="000000"/>
        </w:rPr>
        <w:t>）与武田签署独家商业化协议，该药为血友病B基因疗法。该疗法于2025年4月获NMPA批准，成为中国首个血友病B基因治疗药物。此次合作借助武田在罕见病领域的商业化能力，加速患者可及性。</w:t>
      </w:r>
    </w:p>
    <w:p w14:paraId="1A1449B9" w14:textId="77777777" w:rsidR="00504E74" w:rsidRDefault="00504E74" w:rsidP="00504E74">
      <w:pPr>
        <w:pStyle w:val="af5"/>
        <w:numPr>
          <w:ilvl w:val="0"/>
          <w:numId w:val="14"/>
        </w:numPr>
        <w:spacing w:before="120"/>
        <w:ind w:left="690" w:hanging="240"/>
        <w:rPr>
          <w:rFonts w:ascii="宋体" w:eastAsia="宋体" w:hAnsi="Times New Roman"/>
          <w:color w:val="000000"/>
        </w:rPr>
      </w:pPr>
      <w:r w:rsidRPr="00504E74">
        <w:rPr>
          <w:rFonts w:ascii="宋体" w:eastAsia="宋体" w:hAnsi="Times New Roman" w:hint="eastAsia"/>
          <w:color w:val="000000"/>
        </w:rPr>
        <w:t>为阿斯利康就向三生制药授予百泌达及百达扬（糖尿病产品）在中国独家商业化权益事宜提供法律服务，该交易涉及</w:t>
      </w:r>
      <w:r w:rsidRPr="00504E74">
        <w:rPr>
          <w:rFonts w:ascii="宋体" w:eastAsia="宋体" w:hAnsi="Times New Roman"/>
          <w:color w:val="000000"/>
        </w:rPr>
        <w:t>1亿美元首付款许可费及持续的经济利益分成.</w:t>
      </w:r>
    </w:p>
    <w:p w14:paraId="7C41F587" w14:textId="77777777" w:rsidR="00504E74" w:rsidRDefault="00504E74" w:rsidP="00504E74">
      <w:pPr>
        <w:pStyle w:val="af5"/>
        <w:numPr>
          <w:ilvl w:val="0"/>
          <w:numId w:val="15"/>
        </w:numPr>
        <w:spacing w:before="120"/>
        <w:ind w:left="690" w:hanging="240"/>
        <w:rPr>
          <w:rFonts w:ascii="宋体" w:eastAsia="宋体" w:hAnsi="Times New Roman"/>
          <w:color w:val="000000"/>
        </w:rPr>
      </w:pPr>
      <w:r w:rsidRPr="00504E74">
        <w:rPr>
          <w:rFonts w:ascii="宋体" w:eastAsia="宋体" w:hAnsi="Times New Roman" w:hint="eastAsia"/>
          <w:color w:val="000000"/>
        </w:rPr>
        <w:t>为阿斯利康就向康哲药业授予波依定（</w:t>
      </w:r>
      <w:r w:rsidRPr="00504E74">
        <w:rPr>
          <w:rFonts w:ascii="宋体" w:eastAsia="宋体" w:hAnsi="Times New Roman"/>
          <w:color w:val="000000"/>
        </w:rPr>
        <w:t>Plendil）在中国独家商业化权益事宜提供法律服务，该交易涉及3.1亿美元首付款许可费及持续的经济利益分成</w:t>
      </w:r>
    </w:p>
    <w:p w14:paraId="6A7E8DC9" w14:textId="77777777" w:rsidR="00504E74" w:rsidRDefault="00504E74" w:rsidP="00504E74">
      <w:pPr>
        <w:pStyle w:val="af5"/>
        <w:numPr>
          <w:ilvl w:val="0"/>
          <w:numId w:val="16"/>
        </w:numPr>
        <w:spacing w:before="120"/>
        <w:ind w:left="690" w:hanging="240"/>
        <w:rPr>
          <w:rFonts w:ascii="宋体" w:eastAsia="宋体" w:hAnsi="Times New Roman"/>
          <w:color w:val="000000"/>
        </w:rPr>
      </w:pPr>
      <w:r w:rsidRPr="00504E74">
        <w:rPr>
          <w:rFonts w:ascii="宋体" w:eastAsia="宋体" w:hAnsi="Times New Roman" w:hint="eastAsia"/>
          <w:color w:val="000000"/>
        </w:rPr>
        <w:t>为阿斯利康就与阿斯彭全球有限公司（</w:t>
      </w:r>
      <w:r w:rsidRPr="00504E74">
        <w:rPr>
          <w:rFonts w:ascii="宋体" w:eastAsia="宋体" w:hAnsi="Times New Roman"/>
          <w:color w:val="000000"/>
        </w:rPr>
        <w:t>Aspen Global Incorporated, AGI，属阿斯彭集团旗下）签署协议所产生的在华业务过渡安排提供法律服务，根据该协议，AGI将收购已上市麻醉药品的剩余权益</w:t>
      </w:r>
    </w:p>
    <w:p w14:paraId="57F27518" w14:textId="77777777" w:rsidR="00504E74" w:rsidRDefault="00504E74" w:rsidP="00504E74">
      <w:pPr>
        <w:pStyle w:val="af5"/>
        <w:numPr>
          <w:ilvl w:val="0"/>
          <w:numId w:val="17"/>
        </w:numPr>
        <w:spacing w:before="120"/>
        <w:ind w:left="690" w:hanging="240"/>
        <w:rPr>
          <w:rFonts w:ascii="宋体" w:eastAsia="宋体" w:hAnsi="Times New Roman"/>
          <w:color w:val="000000"/>
        </w:rPr>
      </w:pPr>
      <w:r w:rsidRPr="00504E74">
        <w:rPr>
          <w:rFonts w:ascii="宋体" w:eastAsia="宋体" w:hAnsi="Times New Roman" w:hint="eastAsia"/>
          <w:color w:val="000000"/>
        </w:rPr>
        <w:t>代表贝达药业就与禾元生物签署《药品区域经销协议》提供法律服务。根据该协议，禾元生物委托贝达药业在约定区域内独家经销奥福民</w:t>
      </w:r>
      <w:r w:rsidRPr="00504E74">
        <w:rPr>
          <w:rFonts w:ascii="宋体" w:eastAsia="宋体" w:hAnsi="Times New Roman" w:hint="eastAsia"/>
          <w:color w:val="000000"/>
        </w:rPr>
        <w:t>®</w:t>
      </w:r>
      <w:r w:rsidRPr="00504E74">
        <w:rPr>
          <w:rFonts w:ascii="宋体" w:eastAsia="宋体" w:hAnsi="Times New Roman" w:hint="eastAsia"/>
          <w:color w:val="000000"/>
        </w:rPr>
        <w:t>（植物源重组人血清白蛋白注射液）。</w:t>
      </w:r>
    </w:p>
    <w:p w14:paraId="35207E1B" w14:textId="77777777" w:rsidR="00504E74" w:rsidRDefault="00504E74" w:rsidP="00504E74">
      <w:pPr>
        <w:pStyle w:val="af5"/>
        <w:numPr>
          <w:ilvl w:val="0"/>
          <w:numId w:val="18"/>
        </w:numPr>
        <w:spacing w:before="120"/>
        <w:ind w:left="690" w:hanging="240"/>
        <w:rPr>
          <w:rFonts w:ascii="宋体" w:eastAsia="宋体" w:hAnsi="Times New Roman"/>
          <w:color w:val="000000"/>
        </w:rPr>
      </w:pPr>
      <w:r w:rsidRPr="00504E74">
        <w:rPr>
          <w:rFonts w:ascii="宋体" w:eastAsia="宋体" w:hAnsi="Times New Roman" w:hint="eastAsia"/>
          <w:color w:val="000000"/>
        </w:rPr>
        <w:t>代表开拓药业（</w:t>
      </w:r>
      <w:r w:rsidRPr="00504E74">
        <w:rPr>
          <w:rFonts w:ascii="宋体" w:eastAsia="宋体" w:hAnsi="Times New Roman"/>
          <w:color w:val="000000"/>
        </w:rPr>
        <w:t>HKEX: 9939）就其与印度尼西亚生物科技公司Etana就普克鲁胺（Proxalutamide）治疗新冠在印度尼西亚的商业化达成许可协议提供法律服务。该合作项目后续入选江苏省</w:t>
      </w:r>
      <w:r w:rsidRPr="00504E74">
        <w:rPr>
          <w:rFonts w:ascii="宋体" w:eastAsia="宋体" w:hAnsi="Times New Roman"/>
          <w:color w:val="000000"/>
        </w:rPr>
        <w:t>“</w:t>
      </w:r>
      <w:r w:rsidRPr="00504E74">
        <w:rPr>
          <w:rFonts w:ascii="宋体" w:eastAsia="宋体" w:hAnsi="Times New Roman"/>
          <w:color w:val="000000"/>
        </w:rPr>
        <w:t>一带一路</w:t>
      </w:r>
      <w:r w:rsidRPr="00504E74">
        <w:rPr>
          <w:rFonts w:ascii="宋体" w:eastAsia="宋体" w:hAnsi="Times New Roman"/>
          <w:color w:val="000000"/>
        </w:rPr>
        <w:t>”</w:t>
      </w:r>
      <w:r w:rsidRPr="00504E74">
        <w:rPr>
          <w:rFonts w:ascii="宋体" w:eastAsia="宋体" w:hAnsi="Times New Roman"/>
          <w:color w:val="000000"/>
        </w:rPr>
        <w:t>创新合作项目并获得专项资金支持.</w:t>
      </w:r>
    </w:p>
    <w:p w14:paraId="372BE4D7" w14:textId="77777777" w:rsidR="00504E74" w:rsidRDefault="00504E74" w:rsidP="00504E74">
      <w:pPr>
        <w:pStyle w:val="af5"/>
        <w:spacing w:before="120"/>
        <w:rPr>
          <w:rFonts w:ascii="宋体" w:eastAsia="宋体" w:hAnsi="Times New Roman"/>
          <w:color w:val="000000"/>
        </w:rPr>
      </w:pPr>
      <w:r w:rsidRPr="00504E74">
        <w:rPr>
          <w:rFonts w:ascii="宋体" w:eastAsia="宋体" w:hAnsi="Times New Roman" w:hint="eastAsia"/>
          <w:color w:val="000000"/>
        </w:rPr>
        <w:t>收购与兼并</w:t>
      </w:r>
    </w:p>
    <w:p w14:paraId="2A681B4D" w14:textId="77777777" w:rsidR="00504E74" w:rsidRDefault="00504E74" w:rsidP="00504E74">
      <w:pPr>
        <w:pStyle w:val="af5"/>
        <w:numPr>
          <w:ilvl w:val="0"/>
          <w:numId w:val="19"/>
        </w:numPr>
        <w:spacing w:before="120"/>
        <w:ind w:left="690" w:hanging="240"/>
        <w:rPr>
          <w:rFonts w:ascii="宋体" w:eastAsia="宋体" w:hAnsi="Times New Roman"/>
          <w:color w:val="000000"/>
        </w:rPr>
      </w:pPr>
      <w:r w:rsidRPr="00504E74">
        <w:rPr>
          <w:rFonts w:ascii="宋体" w:eastAsia="宋体" w:hAnsi="Times New Roman" w:hint="eastAsia"/>
          <w:color w:val="000000"/>
        </w:rPr>
        <w:t>协助复星医药（</w:t>
      </w:r>
      <w:r w:rsidRPr="00504E74">
        <w:rPr>
          <w:rFonts w:ascii="宋体" w:eastAsia="宋体" w:hAnsi="Times New Roman"/>
          <w:color w:val="000000"/>
        </w:rPr>
        <w:t>600196.SH）通过其控股子公司复星医药产业，控股收购绿谷（上海）医药科技有限公司；交易完成后复星医药将持有绿谷医药51%的股权；收购的核心资产为绿谷医药的阿尔茨海默病药物甘露特钠胶囊（商品名：九期一</w:t>
      </w:r>
      <w:r w:rsidRPr="00504E74">
        <w:rPr>
          <w:rFonts w:ascii="宋体" w:eastAsia="宋体" w:hAnsi="Times New Roman"/>
          <w:color w:val="000000"/>
        </w:rPr>
        <w:t>®</w:t>
      </w:r>
      <w:r w:rsidRPr="00504E74">
        <w:rPr>
          <w:rFonts w:ascii="宋体" w:eastAsia="宋体" w:hAnsi="Times New Roman"/>
          <w:color w:val="000000"/>
        </w:rPr>
        <w:t>）。</w:t>
      </w:r>
    </w:p>
    <w:p w14:paraId="37989E72" w14:textId="77777777" w:rsidR="00504E74" w:rsidRDefault="00504E74" w:rsidP="00504E74">
      <w:pPr>
        <w:pStyle w:val="af5"/>
        <w:numPr>
          <w:ilvl w:val="0"/>
          <w:numId w:val="20"/>
        </w:numPr>
        <w:spacing w:before="120"/>
        <w:ind w:left="690" w:hanging="240"/>
        <w:rPr>
          <w:rFonts w:ascii="宋体" w:eastAsia="宋体" w:hAnsi="Times New Roman"/>
          <w:color w:val="000000"/>
        </w:rPr>
      </w:pPr>
      <w:r w:rsidRPr="00504E74">
        <w:rPr>
          <w:rFonts w:ascii="宋体" w:eastAsia="宋体" w:hAnsi="Times New Roman" w:hint="eastAsia"/>
          <w:color w:val="000000"/>
        </w:rPr>
        <w:t>代表云顶新耀（</w:t>
      </w:r>
      <w:r w:rsidRPr="00504E74">
        <w:rPr>
          <w:rFonts w:ascii="宋体" w:eastAsia="宋体" w:hAnsi="Times New Roman"/>
          <w:color w:val="000000"/>
        </w:rPr>
        <w:t>HKEX：1952）通过其新加坡全资附属公司EverSea Medicines (Singapore) Pte. Ltd.，与海森生物制药（亚洲）有限公司签署股权购买协议，收购其全资附属公司海森生物制药（新加坡）有限公司的全部股权，强化其在亚太地区慢性病领域的布局与商业化能力，并巩固云顶新耀作为全球创新资产在中国及亚太地区首选合作伙伴的领先地位。</w:t>
      </w:r>
    </w:p>
    <w:p w14:paraId="59F3D1D4" w14:textId="77777777" w:rsidR="00504E74" w:rsidRDefault="00504E74" w:rsidP="00504E74">
      <w:pPr>
        <w:pStyle w:val="af5"/>
        <w:numPr>
          <w:ilvl w:val="0"/>
          <w:numId w:val="21"/>
        </w:numPr>
        <w:spacing w:before="120"/>
        <w:ind w:left="690" w:hanging="240"/>
        <w:rPr>
          <w:rFonts w:ascii="宋体" w:eastAsia="宋体" w:hAnsi="Times New Roman"/>
          <w:color w:val="000000"/>
        </w:rPr>
      </w:pPr>
      <w:r w:rsidRPr="00504E74">
        <w:rPr>
          <w:rFonts w:ascii="宋体" w:eastAsia="宋体" w:hAnsi="Times New Roman" w:hint="eastAsia"/>
          <w:color w:val="000000"/>
        </w:rPr>
        <w:t>代表北京京国管亦庄康桥医疗健康并购投资基金，通过受让老股及认购新股相结合的方式，收购了祐儿医药（</w:t>
      </w:r>
      <w:r w:rsidRPr="00504E74">
        <w:rPr>
          <w:rFonts w:ascii="宋体" w:eastAsia="宋体" w:hAnsi="Times New Roman"/>
          <w:color w:val="000000"/>
        </w:rPr>
        <w:t>Pediatrix Therapeutics）的控股权。 并购基金由康桥资本管理，是目前国内规模最大的专业医疗并购基金；祐儿医药是一家专注于儿科治疗的创新药企，已有4款产品获批上市、5款在研管线，覆盖神经、过敏、皮肤等领域。</w:t>
      </w:r>
    </w:p>
    <w:p w14:paraId="21FF78BE" w14:textId="77777777" w:rsidR="00504E74" w:rsidRDefault="00504E74" w:rsidP="00504E74">
      <w:pPr>
        <w:pStyle w:val="af5"/>
        <w:numPr>
          <w:ilvl w:val="0"/>
          <w:numId w:val="22"/>
        </w:numPr>
        <w:spacing w:before="120"/>
        <w:ind w:left="690" w:hanging="240"/>
        <w:rPr>
          <w:rFonts w:ascii="宋体" w:eastAsia="宋体" w:hAnsi="Times New Roman"/>
          <w:color w:val="000000"/>
        </w:rPr>
      </w:pPr>
      <w:r w:rsidRPr="00504E74">
        <w:rPr>
          <w:rFonts w:ascii="宋体" w:eastAsia="宋体" w:hAnsi="Times New Roman" w:hint="eastAsia"/>
          <w:color w:val="000000"/>
        </w:rPr>
        <w:t>代表南微医学科技股份有限公司（</w:t>
      </w:r>
      <w:r w:rsidRPr="00504E74">
        <w:rPr>
          <w:rFonts w:ascii="宋体" w:eastAsia="宋体" w:hAnsi="Times New Roman"/>
          <w:color w:val="000000"/>
        </w:rPr>
        <w:t>688029.SH）通过其全资子公司Micro-Tech (NL) International B.V.，收购Creo Medical Group plc所持有的Creo Medical S.L.U.（CME）51%已发行股份。CME为西班牙医疗器械销售渠道公司，在欧洲多国设有子公司，经销消化、泌尿、呼吸、一次性内镜等领域的产品。</w:t>
      </w:r>
    </w:p>
    <w:p w14:paraId="4920D254" w14:textId="77777777" w:rsidR="00504E74" w:rsidRDefault="00504E74" w:rsidP="00504E74">
      <w:pPr>
        <w:pStyle w:val="af5"/>
        <w:numPr>
          <w:ilvl w:val="0"/>
          <w:numId w:val="23"/>
        </w:numPr>
        <w:spacing w:before="120"/>
        <w:ind w:left="690" w:hanging="240"/>
        <w:rPr>
          <w:rFonts w:ascii="宋体" w:eastAsia="宋体" w:hAnsi="Times New Roman"/>
          <w:color w:val="000000"/>
        </w:rPr>
      </w:pPr>
      <w:r w:rsidRPr="00504E74">
        <w:rPr>
          <w:rFonts w:ascii="宋体" w:eastAsia="宋体" w:hAnsi="Times New Roman" w:hint="eastAsia"/>
          <w:color w:val="000000"/>
        </w:rPr>
        <w:t>作为中国律师，协助</w:t>
      </w:r>
      <w:r w:rsidRPr="00504E74">
        <w:rPr>
          <w:rFonts w:ascii="宋体" w:eastAsia="宋体" w:hAnsi="Times New Roman"/>
          <w:color w:val="000000"/>
        </w:rPr>
        <w:t>Astorg Partners完成对Cook Medical生殖健康业务的收购，协助完成中国资产及股权的转让有关的协议起草及交割。</w:t>
      </w:r>
    </w:p>
    <w:p w14:paraId="2F4AEEF5" w14:textId="77777777" w:rsidR="00504E74" w:rsidRDefault="00504E74" w:rsidP="00504E74">
      <w:pPr>
        <w:pStyle w:val="af5"/>
        <w:numPr>
          <w:ilvl w:val="0"/>
          <w:numId w:val="24"/>
        </w:numPr>
        <w:spacing w:before="120"/>
        <w:ind w:left="690" w:hanging="240"/>
        <w:rPr>
          <w:rFonts w:ascii="宋体" w:eastAsia="宋体" w:hAnsi="Times New Roman"/>
          <w:color w:val="000000"/>
        </w:rPr>
      </w:pPr>
      <w:r w:rsidRPr="00504E74">
        <w:rPr>
          <w:rFonts w:ascii="宋体" w:eastAsia="宋体" w:hAnsi="Times New Roman" w:hint="eastAsia"/>
          <w:color w:val="000000"/>
        </w:rPr>
        <w:t>作为中国律师，协助全球领先的</w:t>
      </w:r>
      <w:r w:rsidRPr="00504E74">
        <w:rPr>
          <w:rFonts w:ascii="宋体" w:eastAsia="宋体" w:hAnsi="Times New Roman"/>
          <w:color w:val="000000"/>
        </w:rPr>
        <w:t>CDMO企业CordenPharma（控股股东为Astorg Partners）收购美国多肽原料药CDMO公司AmbioPharm（控股股东为The Carlyle Group），AmbioPharm分别位于中国上海及美国南卡罗来纳州北奥古斯塔拥有多肽原料药生产设施。</w:t>
      </w:r>
    </w:p>
    <w:p w14:paraId="4239B0D8" w14:textId="77777777" w:rsidR="00504E74" w:rsidRDefault="00504E74" w:rsidP="00504E74">
      <w:pPr>
        <w:pStyle w:val="af5"/>
        <w:numPr>
          <w:ilvl w:val="0"/>
          <w:numId w:val="25"/>
        </w:numPr>
        <w:spacing w:before="120"/>
        <w:ind w:left="690" w:hanging="240"/>
        <w:rPr>
          <w:rFonts w:ascii="宋体" w:eastAsia="宋体" w:hAnsi="Times New Roman"/>
          <w:color w:val="000000"/>
        </w:rPr>
      </w:pPr>
      <w:r w:rsidRPr="00504E74">
        <w:rPr>
          <w:rFonts w:ascii="宋体" w:eastAsia="宋体" w:hAnsi="Times New Roman" w:hint="eastAsia"/>
          <w:color w:val="000000"/>
        </w:rPr>
        <w:t>协助赛诺菲在北京经济技术开发区（亦庄）新建一个胰岛素原料药生产基地，是“十四五”以来北京市医药工业领域体量最大的外商投资项目。</w:t>
      </w:r>
    </w:p>
    <w:p w14:paraId="6A23EE1D" w14:textId="77777777" w:rsidR="00504E74" w:rsidRDefault="00504E74" w:rsidP="00504E74">
      <w:pPr>
        <w:pStyle w:val="af5"/>
        <w:numPr>
          <w:ilvl w:val="0"/>
          <w:numId w:val="26"/>
        </w:numPr>
        <w:spacing w:before="120"/>
        <w:ind w:left="690" w:hanging="240"/>
        <w:rPr>
          <w:rFonts w:ascii="宋体" w:eastAsia="宋体" w:hAnsi="Times New Roman"/>
          <w:color w:val="000000"/>
        </w:rPr>
      </w:pPr>
      <w:r w:rsidRPr="00504E74">
        <w:rPr>
          <w:rFonts w:ascii="宋体" w:eastAsia="宋体" w:hAnsi="Times New Roman" w:hint="eastAsia"/>
          <w:color w:val="000000"/>
        </w:rPr>
        <w:t>代表拜耳集团为其收购滇虹药业股份有限公司提供法律服务，滇虹药业为一家中国领先的非处方药及中药企业。</w:t>
      </w:r>
      <w:r w:rsidRPr="00504E74">
        <w:rPr>
          <w:rFonts w:ascii="宋体" w:eastAsia="宋体" w:hAnsi="Times New Roman"/>
          <w:color w:val="000000"/>
        </w:rPr>
        <w:t>(被评为中国商法杂志 2015 年度最佳交易)。</w:t>
      </w:r>
    </w:p>
    <w:p w14:paraId="13A69A79" w14:textId="77777777" w:rsidR="00504E74" w:rsidRDefault="00504E74" w:rsidP="00504E74">
      <w:pPr>
        <w:pStyle w:val="af5"/>
        <w:numPr>
          <w:ilvl w:val="0"/>
          <w:numId w:val="27"/>
        </w:numPr>
        <w:spacing w:before="120"/>
        <w:ind w:left="690" w:hanging="240"/>
        <w:rPr>
          <w:rFonts w:ascii="宋体" w:eastAsia="宋体" w:hAnsi="Times New Roman"/>
          <w:color w:val="000000"/>
        </w:rPr>
      </w:pPr>
      <w:r w:rsidRPr="00504E74">
        <w:rPr>
          <w:rFonts w:ascii="宋体" w:eastAsia="宋体" w:hAnsi="Times New Roman" w:hint="eastAsia"/>
          <w:color w:val="000000"/>
        </w:rPr>
        <w:t>代表拜耳医药中国，为在拜耳全球收购默克</w:t>
      </w:r>
      <w:r w:rsidRPr="00504E74">
        <w:rPr>
          <w:rFonts w:ascii="宋体" w:eastAsia="宋体" w:hAnsi="Times New Roman"/>
          <w:color w:val="000000"/>
        </w:rPr>
        <w:t>OTC业务后与默克OTC的中国部分整合提供法律服务。</w:t>
      </w:r>
    </w:p>
    <w:p w14:paraId="357F5444" w14:textId="77777777" w:rsidR="00504E74" w:rsidRDefault="00504E74" w:rsidP="00504E74">
      <w:pPr>
        <w:pStyle w:val="af5"/>
        <w:numPr>
          <w:ilvl w:val="0"/>
          <w:numId w:val="28"/>
        </w:numPr>
        <w:spacing w:before="120"/>
        <w:ind w:left="690" w:hanging="240"/>
        <w:rPr>
          <w:rFonts w:ascii="宋体" w:eastAsia="宋体" w:hAnsi="Times New Roman"/>
          <w:color w:val="000000"/>
        </w:rPr>
      </w:pPr>
      <w:r w:rsidRPr="00504E74">
        <w:rPr>
          <w:rFonts w:ascii="宋体" w:eastAsia="宋体" w:hAnsi="Times New Roman" w:hint="eastAsia"/>
          <w:color w:val="000000"/>
        </w:rPr>
        <w:t>作为中国律师，代表德州太平洋投资（</w:t>
      </w:r>
      <w:r w:rsidRPr="00504E74">
        <w:rPr>
          <w:rFonts w:ascii="宋体" w:eastAsia="宋体" w:hAnsi="Times New Roman"/>
          <w:color w:val="000000"/>
        </w:rPr>
        <w:t>TPG Capital）收购PPC，PPC是一家专注于药物研发及临床研究管理服务的亚洲领先CRO企业；就PPC与Novotech整合为Novotech Health Holdings提供法律服务，打造亚洲领先的生物技术专业CRO平台；并就Novotech的出售交易提供法律服务，该交易于2025年获得新加坡政府投资公司（GIC）和淡马锡的重大投资。</w:t>
      </w:r>
    </w:p>
    <w:p w14:paraId="51EC0EC2" w14:textId="77777777" w:rsidR="00504E74" w:rsidRDefault="00504E74" w:rsidP="00504E74">
      <w:pPr>
        <w:pStyle w:val="af5"/>
        <w:numPr>
          <w:ilvl w:val="0"/>
          <w:numId w:val="29"/>
        </w:numPr>
        <w:spacing w:before="120"/>
        <w:ind w:left="690" w:hanging="240"/>
        <w:rPr>
          <w:rFonts w:ascii="宋体" w:eastAsia="宋体" w:hAnsi="Times New Roman"/>
          <w:color w:val="000000"/>
        </w:rPr>
      </w:pPr>
      <w:r w:rsidRPr="00504E74">
        <w:rPr>
          <w:rFonts w:ascii="宋体" w:eastAsia="宋体" w:hAnsi="Times New Roman" w:hint="eastAsia"/>
          <w:color w:val="000000"/>
        </w:rPr>
        <w:t>代表亿腾医药，就其向礼来公司（</w:t>
      </w:r>
      <w:r w:rsidRPr="00504E74">
        <w:rPr>
          <w:rFonts w:ascii="宋体" w:eastAsia="宋体" w:hAnsi="Times New Roman"/>
          <w:color w:val="000000"/>
        </w:rPr>
        <w:t>Eli Lilly）收购抗生素产品希刻劳</w:t>
      </w:r>
      <w:r w:rsidRPr="00504E74">
        <w:rPr>
          <w:rFonts w:ascii="宋体" w:eastAsia="宋体" w:hAnsi="Times New Roman"/>
          <w:color w:val="000000"/>
        </w:rPr>
        <w:t>®</w:t>
      </w:r>
      <w:r w:rsidRPr="00504E74">
        <w:rPr>
          <w:rFonts w:ascii="宋体" w:eastAsia="宋体" w:hAnsi="Times New Roman"/>
          <w:color w:val="000000"/>
        </w:rPr>
        <w:t>（Ceclor</w:t>
      </w:r>
      <w:r w:rsidRPr="00504E74">
        <w:rPr>
          <w:rFonts w:ascii="宋体" w:eastAsia="宋体" w:hAnsi="Times New Roman"/>
          <w:color w:val="000000"/>
        </w:rPr>
        <w:t>®</w:t>
      </w:r>
      <w:r w:rsidRPr="00504E74">
        <w:rPr>
          <w:rFonts w:ascii="宋体" w:eastAsia="宋体" w:hAnsi="Times New Roman"/>
          <w:color w:val="000000"/>
        </w:rPr>
        <w:t>）和稳可信</w:t>
      </w:r>
      <w:r w:rsidRPr="00504E74">
        <w:rPr>
          <w:rFonts w:ascii="宋体" w:eastAsia="宋体" w:hAnsi="Times New Roman"/>
          <w:color w:val="000000"/>
        </w:rPr>
        <w:t>®</w:t>
      </w:r>
      <w:r w:rsidRPr="00504E74">
        <w:rPr>
          <w:rFonts w:ascii="宋体" w:eastAsia="宋体" w:hAnsi="Times New Roman"/>
          <w:color w:val="000000"/>
        </w:rPr>
        <w:t>（Vancocin</w:t>
      </w:r>
      <w:r w:rsidRPr="00504E74">
        <w:rPr>
          <w:rFonts w:ascii="宋体" w:eastAsia="宋体" w:hAnsi="Times New Roman"/>
          <w:color w:val="000000"/>
        </w:rPr>
        <w:t>®</w:t>
      </w:r>
      <w:r w:rsidRPr="00504E74">
        <w:rPr>
          <w:rFonts w:ascii="宋体" w:eastAsia="宋体" w:hAnsi="Times New Roman"/>
          <w:color w:val="000000"/>
        </w:rPr>
        <w:t>）在中国大陆的权利，以及位于苏州的希刻劳</w:t>
      </w:r>
      <w:r w:rsidRPr="00504E74">
        <w:rPr>
          <w:rFonts w:ascii="宋体" w:eastAsia="宋体" w:hAnsi="Times New Roman"/>
          <w:color w:val="000000"/>
        </w:rPr>
        <w:t>®</w:t>
      </w:r>
      <w:r w:rsidRPr="00504E74">
        <w:rPr>
          <w:rFonts w:ascii="宋体" w:eastAsia="宋体" w:hAnsi="Times New Roman"/>
          <w:color w:val="000000"/>
        </w:rPr>
        <w:t>生产工厂提供法律服务。</w:t>
      </w:r>
    </w:p>
    <w:p w14:paraId="75B7E6D3" w14:textId="77777777" w:rsidR="00504E74" w:rsidRDefault="00504E74" w:rsidP="00504E74">
      <w:pPr>
        <w:pStyle w:val="af5"/>
        <w:spacing w:before="120"/>
        <w:rPr>
          <w:rFonts w:ascii="宋体" w:eastAsia="宋体" w:hAnsi="Times New Roman"/>
          <w:color w:val="000000"/>
        </w:rPr>
      </w:pPr>
      <w:r w:rsidRPr="00504E74">
        <w:rPr>
          <w:rFonts w:ascii="宋体" w:eastAsia="宋体" w:hAnsi="Times New Roman" w:hint="eastAsia"/>
          <w:color w:val="000000"/>
        </w:rPr>
        <w:t>股权投资及融资</w:t>
      </w:r>
    </w:p>
    <w:p w14:paraId="54C6D810" w14:textId="77777777" w:rsidR="00504E74" w:rsidRDefault="00504E74" w:rsidP="00504E74">
      <w:pPr>
        <w:pStyle w:val="af5"/>
        <w:numPr>
          <w:ilvl w:val="0"/>
          <w:numId w:val="30"/>
        </w:numPr>
        <w:spacing w:before="120"/>
        <w:ind w:left="690" w:hanging="240"/>
        <w:rPr>
          <w:rFonts w:ascii="宋体" w:eastAsia="宋体" w:hAnsi="Times New Roman"/>
          <w:color w:val="000000"/>
        </w:rPr>
      </w:pPr>
      <w:r w:rsidRPr="00504E74">
        <w:rPr>
          <w:rFonts w:ascii="宋体" w:eastAsia="宋体" w:hAnsi="Times New Roman" w:hint="eastAsia"/>
          <w:color w:val="000000"/>
        </w:rPr>
        <w:t>代表包括</w:t>
      </w:r>
      <w:r w:rsidRPr="00504E74">
        <w:rPr>
          <w:rFonts w:ascii="宋体" w:eastAsia="宋体" w:hAnsi="Times New Roman"/>
          <w:color w:val="000000"/>
        </w:rPr>
        <w:t>ADIA、中金-阿斯利康、博裕、凯辉基金、康桥资本、中金资本、元禾原点、厚朴投资、中信资本、CVC、德弘资本、光大医疗健康基金、弘毅投资、礼来亚洲基金、复星医药、方源资本、GE医疗、高瓴资本、弘晖资本、LYFE Capital、美敦力、微创医疗、太盟投资、合众集团、PKI Ventures、春华资本、TPG、晖致、华平投资、药明康德、晶泰科技等投资方，就其对生物科技公司、制药公司、医疗科技公司、医疗服务机构等的投资提供法律服务。</w:t>
      </w:r>
    </w:p>
    <w:p w14:paraId="0EF4C002" w14:textId="77777777" w:rsidR="00504E74" w:rsidRDefault="00504E74" w:rsidP="00504E74">
      <w:pPr>
        <w:pStyle w:val="af5"/>
        <w:numPr>
          <w:ilvl w:val="0"/>
          <w:numId w:val="31"/>
        </w:numPr>
        <w:spacing w:before="120"/>
        <w:ind w:left="690" w:hanging="240"/>
        <w:rPr>
          <w:rFonts w:ascii="宋体" w:eastAsia="宋体" w:hAnsi="Times New Roman"/>
          <w:color w:val="000000"/>
        </w:rPr>
      </w:pPr>
      <w:r w:rsidRPr="00504E74">
        <w:rPr>
          <w:rFonts w:ascii="宋体" w:eastAsia="宋体" w:hAnsi="Times New Roman" w:hint="eastAsia"/>
          <w:color w:val="000000"/>
        </w:rPr>
        <w:t>代表诸多生物科技公司、制药公司、医疗科技公司的股权融资（从最初孵化到上市前融资）、资产及股权重组（包括搭设跨境结构或拆除跨境结构）等。</w:t>
      </w:r>
    </w:p>
    <w:p w14:paraId="25716D79" w14:textId="77777777" w:rsidR="00504E74" w:rsidRDefault="00504E74" w:rsidP="00504E74">
      <w:pPr>
        <w:pStyle w:val="af5"/>
        <w:spacing w:before="120"/>
        <w:rPr>
          <w:rFonts w:ascii="宋体" w:eastAsia="宋体" w:hAnsi="Times New Roman"/>
          <w:color w:val="000000"/>
        </w:rPr>
      </w:pPr>
      <w:r w:rsidRPr="00504E74">
        <w:rPr>
          <w:rFonts w:ascii="宋体" w:eastAsia="宋体" w:hAnsi="Times New Roman" w:hint="eastAsia"/>
          <w:color w:val="000000"/>
        </w:rPr>
        <w:t>资本市场</w:t>
      </w:r>
    </w:p>
    <w:p w14:paraId="1FC14854" w14:textId="77777777" w:rsidR="00504E74" w:rsidRDefault="00504E74" w:rsidP="00504E74">
      <w:pPr>
        <w:pStyle w:val="af5"/>
        <w:numPr>
          <w:ilvl w:val="0"/>
          <w:numId w:val="32"/>
        </w:numPr>
        <w:spacing w:before="120"/>
        <w:ind w:left="690" w:hanging="240"/>
        <w:rPr>
          <w:rFonts w:ascii="宋体" w:eastAsia="宋体" w:hAnsi="Times New Roman"/>
          <w:color w:val="000000"/>
        </w:rPr>
      </w:pPr>
      <w:r w:rsidRPr="00504E74">
        <w:rPr>
          <w:rFonts w:ascii="宋体" w:eastAsia="宋体" w:hAnsi="Times New Roman" w:hint="eastAsia"/>
          <w:color w:val="000000"/>
        </w:rPr>
        <w:t>作为中国法律顾问，协助晶泰科技、药明合联、百济神州、药明生物、基石药业、瑞慈医疗等企业在香港交易所完成首次公开发行及其后续融资；作为中国法律顾问，协助泛生子、爱康国宾等企业在美国完成首次公开发行；作为中国法律顾问，协助爱康国宾、泰康生物等企业的美股私有化退市。</w:t>
      </w:r>
    </w:p>
    <w:p w14:paraId="320A3E45" w14:textId="77777777" w:rsidR="00504E74" w:rsidRDefault="00504E74" w:rsidP="00504E74">
      <w:pPr>
        <w:pStyle w:val="af5"/>
        <w:spacing w:after="0" w:line="480" w:lineRule="auto"/>
        <w:rPr>
          <w:rFonts w:ascii="宋体" w:eastAsia="宋体" w:hAnsi="宋体"/>
          <w:b/>
          <w:sz w:val="24"/>
        </w:rPr>
      </w:pPr>
      <w:r w:rsidRPr="00504E74">
        <w:rPr>
          <w:rFonts w:ascii="宋体" w:eastAsia="宋体" w:hAnsi="宋体" w:hint="eastAsia"/>
          <w:b/>
          <w:sz w:val="24"/>
        </w:rPr>
        <w:t>教育背景</w:t>
      </w:r>
    </w:p>
    <w:p w14:paraId="4F083CB1" w14:textId="77777777" w:rsidR="00504E74" w:rsidRDefault="00504E74" w:rsidP="00504E74">
      <w:pPr>
        <w:pStyle w:val="af5"/>
        <w:numPr>
          <w:ilvl w:val="0"/>
          <w:numId w:val="33"/>
        </w:numPr>
        <w:spacing w:before="120"/>
        <w:ind w:left="690" w:hanging="240"/>
        <w:rPr>
          <w:rFonts w:ascii="宋体" w:eastAsia="宋体" w:hAnsi="Times New Roman"/>
          <w:color w:val="000000"/>
        </w:rPr>
      </w:pPr>
      <w:r w:rsidRPr="00504E74">
        <w:rPr>
          <w:rFonts w:ascii="宋体" w:eastAsia="宋体" w:hAnsi="Times New Roman" w:hint="eastAsia"/>
          <w:color w:val="000000"/>
        </w:rPr>
        <w:t>上海外国语大学法学院，法学学士</w:t>
      </w:r>
    </w:p>
    <w:p w14:paraId="666EA871" w14:textId="77777777" w:rsidR="00504E74" w:rsidRDefault="00504E74" w:rsidP="00504E74">
      <w:pPr>
        <w:pStyle w:val="af5"/>
        <w:numPr>
          <w:ilvl w:val="0"/>
          <w:numId w:val="34"/>
        </w:numPr>
        <w:spacing w:before="120"/>
        <w:ind w:left="690" w:hanging="240"/>
        <w:rPr>
          <w:rFonts w:ascii="宋体" w:eastAsia="宋体" w:hAnsi="Times New Roman"/>
          <w:color w:val="000000"/>
        </w:rPr>
      </w:pPr>
      <w:r w:rsidRPr="00504E74">
        <w:rPr>
          <w:rFonts w:ascii="宋体" w:eastAsia="宋体" w:hAnsi="Times New Roman" w:hint="eastAsia"/>
          <w:color w:val="000000"/>
        </w:rPr>
        <w:t>美国西北大学法学院，法学硕士</w:t>
      </w:r>
    </w:p>
    <w:p w14:paraId="0E08859A" w14:textId="77777777" w:rsidR="00504E74" w:rsidRDefault="00504E74" w:rsidP="00504E74">
      <w:pPr>
        <w:pStyle w:val="af5"/>
        <w:spacing w:after="0" w:line="480" w:lineRule="auto"/>
        <w:rPr>
          <w:rFonts w:ascii="宋体" w:eastAsia="宋体" w:hAnsi="宋体"/>
          <w:b/>
          <w:sz w:val="24"/>
        </w:rPr>
      </w:pPr>
      <w:r w:rsidRPr="00504E74">
        <w:rPr>
          <w:rFonts w:ascii="宋体" w:eastAsia="宋体" w:hAnsi="宋体" w:hint="eastAsia"/>
          <w:b/>
          <w:sz w:val="24"/>
        </w:rPr>
        <w:t>执业资格</w:t>
      </w:r>
    </w:p>
    <w:p w14:paraId="5785B6D7" w14:textId="77777777" w:rsidR="00504E74" w:rsidRDefault="00504E74" w:rsidP="00504E74">
      <w:pPr>
        <w:pStyle w:val="af5"/>
        <w:numPr>
          <w:ilvl w:val="0"/>
          <w:numId w:val="35"/>
        </w:numPr>
        <w:spacing w:before="120"/>
        <w:ind w:left="690" w:hanging="240"/>
        <w:rPr>
          <w:rFonts w:ascii="宋体" w:eastAsia="宋体" w:hAnsi="Times New Roman"/>
          <w:color w:val="000000"/>
        </w:rPr>
      </w:pPr>
      <w:r w:rsidRPr="00504E74">
        <w:rPr>
          <w:rFonts w:ascii="宋体" w:eastAsia="宋体" w:hAnsi="Times New Roman" w:hint="eastAsia"/>
          <w:color w:val="000000"/>
        </w:rPr>
        <w:t>中华人民共和国执业律师</w:t>
      </w:r>
    </w:p>
    <w:p w14:paraId="752D9BAA" w14:textId="77777777" w:rsidR="00504E74" w:rsidRDefault="00504E74" w:rsidP="00504E74">
      <w:pPr>
        <w:pStyle w:val="af5"/>
        <w:numPr>
          <w:ilvl w:val="0"/>
          <w:numId w:val="36"/>
        </w:numPr>
        <w:spacing w:before="120"/>
        <w:ind w:left="690" w:hanging="240"/>
        <w:rPr>
          <w:rFonts w:ascii="宋体" w:eastAsia="宋体" w:hAnsi="Times New Roman"/>
          <w:color w:val="000000"/>
        </w:rPr>
      </w:pPr>
      <w:r w:rsidRPr="00504E74">
        <w:rPr>
          <w:rFonts w:ascii="宋体" w:eastAsia="宋体" w:hAnsi="Times New Roman" w:hint="eastAsia"/>
          <w:color w:val="000000"/>
        </w:rPr>
        <w:t>美国纽约州律师资格</w:t>
      </w:r>
    </w:p>
    <w:p w14:paraId="0BE81087" w14:textId="77777777" w:rsidR="00504E74" w:rsidRDefault="00504E74" w:rsidP="00504E74">
      <w:pPr>
        <w:pStyle w:val="af5"/>
        <w:spacing w:after="0" w:line="480" w:lineRule="auto"/>
        <w:rPr>
          <w:rFonts w:ascii="宋体" w:eastAsia="宋体" w:hAnsi="宋体"/>
          <w:b/>
          <w:sz w:val="24"/>
        </w:rPr>
      </w:pPr>
      <w:r w:rsidRPr="00504E74">
        <w:rPr>
          <w:rFonts w:ascii="宋体" w:eastAsia="宋体" w:hAnsi="宋体" w:hint="eastAsia"/>
          <w:b/>
          <w:sz w:val="24"/>
        </w:rPr>
        <w:t>职业背景</w:t>
      </w:r>
    </w:p>
    <w:p w14:paraId="4F28636C" w14:textId="77777777" w:rsidR="00504E74" w:rsidRDefault="00504E74" w:rsidP="00504E74">
      <w:pPr>
        <w:pStyle w:val="af5"/>
        <w:numPr>
          <w:ilvl w:val="0"/>
          <w:numId w:val="37"/>
        </w:numPr>
        <w:spacing w:before="120"/>
        <w:ind w:left="690" w:hanging="240"/>
        <w:rPr>
          <w:rFonts w:ascii="宋体" w:eastAsia="宋体" w:hAnsi="Times New Roman"/>
          <w:color w:val="000000"/>
        </w:rPr>
      </w:pPr>
      <w:r w:rsidRPr="00504E74">
        <w:rPr>
          <w:rFonts w:ascii="宋体" w:eastAsia="宋体" w:hAnsi="Times New Roman" w:hint="eastAsia"/>
          <w:color w:val="000000"/>
        </w:rPr>
        <w:t>李娜律师于</w:t>
      </w:r>
      <w:r w:rsidRPr="00504E74">
        <w:rPr>
          <w:rFonts w:ascii="宋体" w:eastAsia="宋体" w:hAnsi="Times New Roman"/>
          <w:color w:val="000000"/>
        </w:rPr>
        <w:t>2007年加入方达律师事务所。在此之前的五年内，李律师曾就职于其他领先国际律师事务所和中国律师事务所。</w:t>
      </w:r>
    </w:p>
    <w:p w14:paraId="65454B78" w14:textId="77777777" w:rsidR="00504E74" w:rsidRDefault="00504E74" w:rsidP="00504E74">
      <w:pPr>
        <w:pStyle w:val="af5"/>
        <w:spacing w:after="0" w:line="480" w:lineRule="auto"/>
        <w:rPr>
          <w:rFonts w:ascii="宋体" w:eastAsia="宋体" w:hAnsi="宋体"/>
          <w:b/>
          <w:sz w:val="24"/>
        </w:rPr>
      </w:pPr>
      <w:r w:rsidRPr="00504E74">
        <w:rPr>
          <w:rFonts w:ascii="宋体" w:eastAsia="宋体" w:hAnsi="宋体" w:hint="eastAsia"/>
          <w:b/>
          <w:sz w:val="24"/>
        </w:rPr>
        <w:t>其他信息</w:t>
      </w:r>
    </w:p>
    <w:p w14:paraId="6817F159" w14:textId="77777777" w:rsidR="00504E74" w:rsidRDefault="00504E74" w:rsidP="00504E74">
      <w:pPr>
        <w:pStyle w:val="af5"/>
        <w:spacing w:after="0" w:line="480" w:lineRule="auto"/>
        <w:rPr>
          <w:rFonts w:ascii="宋体" w:eastAsia="宋体" w:hAnsi="宋体"/>
          <w:b/>
          <w:sz w:val="24"/>
        </w:rPr>
      </w:pPr>
      <w:r w:rsidRPr="00504E74">
        <w:rPr>
          <w:rFonts w:ascii="宋体" w:eastAsia="宋体" w:hAnsi="宋体" w:hint="eastAsia"/>
          <w:b/>
          <w:sz w:val="24"/>
        </w:rPr>
        <w:t>获奖情况</w:t>
      </w:r>
    </w:p>
    <w:p w14:paraId="4D21CC0D" w14:textId="77777777" w:rsidR="00504E74" w:rsidRDefault="00504E74" w:rsidP="00504E74">
      <w:pPr>
        <w:pStyle w:val="af5"/>
        <w:numPr>
          <w:ilvl w:val="0"/>
          <w:numId w:val="38"/>
        </w:numPr>
        <w:spacing w:before="120"/>
        <w:ind w:left="690" w:hanging="240"/>
        <w:rPr>
          <w:rFonts w:ascii="宋体" w:eastAsia="宋体" w:hAnsi="Times New Roman"/>
          <w:color w:val="000000"/>
        </w:rPr>
      </w:pPr>
      <w:r w:rsidRPr="00504E74">
        <w:rPr>
          <w:rFonts w:ascii="宋体" w:eastAsia="宋体" w:hAnsi="Times New Roman"/>
          <w:color w:val="000000"/>
        </w:rPr>
        <w:t xml:space="preserve">《法律500强》（Legal 500） </w:t>
      </w:r>
      <w:r w:rsidRPr="00504E74">
        <w:rPr>
          <w:rFonts w:ascii="宋体" w:eastAsia="宋体" w:hAnsi="Times New Roman"/>
          <w:color w:val="000000"/>
        </w:rPr>
        <w:t>–</w:t>
      </w:r>
      <w:r w:rsidRPr="00504E74">
        <w:rPr>
          <w:rFonts w:ascii="宋体" w:eastAsia="宋体" w:hAnsi="Times New Roman"/>
          <w:color w:val="000000"/>
        </w:rPr>
        <w:t xml:space="preserve"> 中国医疗健康与生命科学领域，领先律师/合伙人（2020-2026） </w:t>
      </w:r>
    </w:p>
    <w:p w14:paraId="72DDDC15" w14:textId="77777777" w:rsidR="00504E74" w:rsidRDefault="00504E74" w:rsidP="00504E74">
      <w:pPr>
        <w:pStyle w:val="af5"/>
        <w:numPr>
          <w:ilvl w:val="0"/>
          <w:numId w:val="39"/>
        </w:numPr>
        <w:spacing w:before="120"/>
        <w:ind w:left="690" w:hanging="240"/>
        <w:rPr>
          <w:rFonts w:ascii="宋体" w:eastAsia="宋体" w:hAnsi="Times New Roman"/>
          <w:color w:val="000000"/>
        </w:rPr>
      </w:pPr>
      <w:r w:rsidRPr="00504E74">
        <w:rPr>
          <w:rFonts w:ascii="宋体" w:eastAsia="宋体" w:hAnsi="Times New Roman"/>
          <w:color w:val="000000"/>
        </w:rPr>
        <w:t xml:space="preserve">《亚洲法律》（Asia Law） </w:t>
      </w:r>
      <w:r w:rsidRPr="00504E74">
        <w:rPr>
          <w:rFonts w:ascii="宋体" w:eastAsia="宋体" w:hAnsi="Times New Roman"/>
          <w:color w:val="000000"/>
        </w:rPr>
        <w:t>–</w:t>
      </w:r>
      <w:r w:rsidRPr="00504E74">
        <w:rPr>
          <w:rFonts w:ascii="宋体" w:eastAsia="宋体" w:hAnsi="Times New Roman"/>
          <w:color w:val="000000"/>
        </w:rPr>
        <w:t xml:space="preserve"> 中国医疗健康领域，卓越执业律师（2023-2025） </w:t>
      </w:r>
    </w:p>
    <w:p w14:paraId="4F0A196B" w14:textId="7149169C" w:rsidR="00A46A04" w:rsidRPr="00504E74" w:rsidRDefault="00504E74" w:rsidP="00504E74">
      <w:pPr>
        <w:pStyle w:val="af5"/>
        <w:numPr>
          <w:ilvl w:val="0"/>
          <w:numId w:val="40"/>
        </w:numPr>
        <w:spacing w:before="120"/>
        <w:ind w:left="690" w:hanging="240"/>
        <w:rPr>
          <w:rFonts w:ascii="宋体" w:eastAsia="宋体" w:hAnsi="Times New Roman"/>
          <w:color w:val="000000"/>
        </w:rPr>
      </w:pPr>
      <w:r w:rsidRPr="00504E74">
        <w:rPr>
          <w:rFonts w:ascii="宋体" w:eastAsia="宋体" w:hAnsi="Times New Roman"/>
          <w:color w:val="000000"/>
        </w:rPr>
        <w:t xml:space="preserve">《钱伯斯》（Chambers） </w:t>
      </w:r>
      <w:r w:rsidRPr="00504E74">
        <w:rPr>
          <w:rFonts w:ascii="宋体" w:eastAsia="宋体" w:hAnsi="Times New Roman"/>
          <w:color w:val="000000"/>
        </w:rPr>
        <w:t>–</w:t>
      </w:r>
      <w:r w:rsidRPr="00504E74">
        <w:rPr>
          <w:rFonts w:ascii="宋体" w:eastAsia="宋体" w:hAnsi="Times New Roman"/>
          <w:color w:val="000000"/>
        </w:rPr>
        <w:t xml:space="preserve"> 中国医疗健康领域，第三等律师（2026），第四等律师（2024-2025），潜质律师（2021-2023） </w:t>
      </w:r>
    </w:p>
    <w:sectPr w:rsidR="00A46A04" w:rsidRPr="00504E7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864BD"/>
    <w:multiLevelType w:val="singleLevel"/>
    <w:tmpl w:val="1D04667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2E95471"/>
    <w:multiLevelType w:val="singleLevel"/>
    <w:tmpl w:val="0AE08A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45B544B"/>
    <w:multiLevelType w:val="singleLevel"/>
    <w:tmpl w:val="34342B4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922C87"/>
    <w:multiLevelType w:val="singleLevel"/>
    <w:tmpl w:val="9560F7A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9F4102B"/>
    <w:multiLevelType w:val="singleLevel"/>
    <w:tmpl w:val="F7C0204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89072C"/>
    <w:multiLevelType w:val="singleLevel"/>
    <w:tmpl w:val="A9CEF366"/>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C8766D"/>
    <w:multiLevelType w:val="singleLevel"/>
    <w:tmpl w:val="7D886B9A"/>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DD30889"/>
    <w:multiLevelType w:val="singleLevel"/>
    <w:tmpl w:val="E35CDBC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0EC266CF"/>
    <w:multiLevelType w:val="singleLevel"/>
    <w:tmpl w:val="A5B8F89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0ECD7592"/>
    <w:multiLevelType w:val="singleLevel"/>
    <w:tmpl w:val="41A6F77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2EB7BA1"/>
    <w:multiLevelType w:val="singleLevel"/>
    <w:tmpl w:val="BD1C807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320762A"/>
    <w:multiLevelType w:val="singleLevel"/>
    <w:tmpl w:val="B1DCF4FA"/>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438637A"/>
    <w:multiLevelType w:val="singleLevel"/>
    <w:tmpl w:val="0134A37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7F973B0"/>
    <w:multiLevelType w:val="singleLevel"/>
    <w:tmpl w:val="37EA5FF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1A625002"/>
    <w:multiLevelType w:val="singleLevel"/>
    <w:tmpl w:val="6F3238A6"/>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1C54005B"/>
    <w:multiLevelType w:val="singleLevel"/>
    <w:tmpl w:val="654449FC"/>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1D2A1383"/>
    <w:multiLevelType w:val="singleLevel"/>
    <w:tmpl w:val="E07A324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2985C22"/>
    <w:multiLevelType w:val="singleLevel"/>
    <w:tmpl w:val="BAD88DC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2E44A90"/>
    <w:multiLevelType w:val="singleLevel"/>
    <w:tmpl w:val="743807CC"/>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5351BBD"/>
    <w:multiLevelType w:val="singleLevel"/>
    <w:tmpl w:val="189A0F3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2C277E98"/>
    <w:multiLevelType w:val="singleLevel"/>
    <w:tmpl w:val="0F220A9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2CC24E33"/>
    <w:multiLevelType w:val="singleLevel"/>
    <w:tmpl w:val="8A647F76"/>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2EC3230E"/>
    <w:multiLevelType w:val="singleLevel"/>
    <w:tmpl w:val="242E3DF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4"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5" w15:restartNumberingAfterBreak="0">
    <w:nsid w:val="3D00730A"/>
    <w:multiLevelType w:val="singleLevel"/>
    <w:tmpl w:val="37EA5FF4"/>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FB077BC"/>
    <w:multiLevelType w:val="singleLevel"/>
    <w:tmpl w:val="49801540"/>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671BD7"/>
    <w:multiLevelType w:val="singleLevel"/>
    <w:tmpl w:val="C99030B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4C33D70"/>
    <w:multiLevelType w:val="singleLevel"/>
    <w:tmpl w:val="0226A3B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8C744AF"/>
    <w:multiLevelType w:val="singleLevel"/>
    <w:tmpl w:val="AF328D9C"/>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8C86431"/>
    <w:multiLevelType w:val="singleLevel"/>
    <w:tmpl w:val="A2CE368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DA3EF1"/>
    <w:multiLevelType w:val="singleLevel"/>
    <w:tmpl w:val="CB7033F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F2B692C"/>
    <w:multiLevelType w:val="singleLevel"/>
    <w:tmpl w:val="B0821162"/>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2530E1C"/>
    <w:multiLevelType w:val="singleLevel"/>
    <w:tmpl w:val="10FE414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6CD3C8D"/>
    <w:multiLevelType w:val="singleLevel"/>
    <w:tmpl w:val="825457CE"/>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600A14"/>
    <w:multiLevelType w:val="singleLevel"/>
    <w:tmpl w:val="FE04A576"/>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AD7EF9"/>
    <w:multiLevelType w:val="singleLevel"/>
    <w:tmpl w:val="A210E10C"/>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A5D7960"/>
    <w:multiLevelType w:val="singleLevel"/>
    <w:tmpl w:val="716A47E6"/>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2F3A25"/>
    <w:multiLevelType w:val="singleLevel"/>
    <w:tmpl w:val="01D8F91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946E85"/>
    <w:multiLevelType w:val="singleLevel"/>
    <w:tmpl w:val="6194E36C"/>
    <w:lvl w:ilvl="0">
      <w:start w:val="1"/>
      <w:numFmt w:val="bullet"/>
      <w:lvlText w:val=""/>
      <w:lvlJc w:val="left"/>
      <w:pPr>
        <w:tabs>
          <w:tab w:val="num" w:pos="200"/>
        </w:tabs>
        <w:ind w:left="200" w:hanging="200"/>
      </w:pPr>
      <w:rPr>
        <w:rFonts w:ascii="Wingdings" w:hAnsi="Wingdings" w:hint="default"/>
        <w:sz w:val="16"/>
      </w:rPr>
    </w:lvl>
  </w:abstractNum>
  <w:num w:numId="1">
    <w:abstractNumId w:val="23"/>
  </w:num>
  <w:num w:numId="2">
    <w:abstractNumId w:val="24"/>
  </w:num>
  <w:num w:numId="3">
    <w:abstractNumId w:val="29"/>
  </w:num>
  <w:num w:numId="4">
    <w:abstractNumId w:val="11"/>
  </w:num>
  <w:num w:numId="5">
    <w:abstractNumId w:val="35"/>
  </w:num>
  <w:num w:numId="6">
    <w:abstractNumId w:val="8"/>
  </w:num>
  <w:num w:numId="7">
    <w:abstractNumId w:val="21"/>
  </w:num>
  <w:num w:numId="8">
    <w:abstractNumId w:val="22"/>
  </w:num>
  <w:num w:numId="9">
    <w:abstractNumId w:val="34"/>
  </w:num>
  <w:num w:numId="10">
    <w:abstractNumId w:val="4"/>
  </w:num>
  <w:num w:numId="11">
    <w:abstractNumId w:val="26"/>
  </w:num>
  <w:num w:numId="12">
    <w:abstractNumId w:val="31"/>
  </w:num>
  <w:num w:numId="13">
    <w:abstractNumId w:val="10"/>
  </w:num>
  <w:num w:numId="14">
    <w:abstractNumId w:val="0"/>
  </w:num>
  <w:num w:numId="15">
    <w:abstractNumId w:val="36"/>
  </w:num>
  <w:num w:numId="16">
    <w:abstractNumId w:val="2"/>
  </w:num>
  <w:num w:numId="17">
    <w:abstractNumId w:val="5"/>
  </w:num>
  <w:num w:numId="18">
    <w:abstractNumId w:val="20"/>
  </w:num>
  <w:num w:numId="19">
    <w:abstractNumId w:val="33"/>
  </w:num>
  <w:num w:numId="20">
    <w:abstractNumId w:val="3"/>
  </w:num>
  <w:num w:numId="21">
    <w:abstractNumId w:val="18"/>
  </w:num>
  <w:num w:numId="22">
    <w:abstractNumId w:val="28"/>
  </w:num>
  <w:num w:numId="23">
    <w:abstractNumId w:val="1"/>
  </w:num>
  <w:num w:numId="24">
    <w:abstractNumId w:val="32"/>
  </w:num>
  <w:num w:numId="25">
    <w:abstractNumId w:val="6"/>
  </w:num>
  <w:num w:numId="26">
    <w:abstractNumId w:val="19"/>
  </w:num>
  <w:num w:numId="27">
    <w:abstractNumId w:val="17"/>
  </w:num>
  <w:num w:numId="28">
    <w:abstractNumId w:val="39"/>
  </w:num>
  <w:num w:numId="29">
    <w:abstractNumId w:val="15"/>
  </w:num>
  <w:num w:numId="30">
    <w:abstractNumId w:val="37"/>
  </w:num>
  <w:num w:numId="31">
    <w:abstractNumId w:val="38"/>
  </w:num>
  <w:num w:numId="32">
    <w:abstractNumId w:val="12"/>
  </w:num>
  <w:num w:numId="33">
    <w:abstractNumId w:val="14"/>
  </w:num>
  <w:num w:numId="34">
    <w:abstractNumId w:val="30"/>
  </w:num>
  <w:num w:numId="35">
    <w:abstractNumId w:val="27"/>
  </w:num>
  <w:num w:numId="36">
    <w:abstractNumId w:val="16"/>
  </w:num>
  <w:num w:numId="37">
    <w:abstractNumId w:val="9"/>
  </w:num>
  <w:num w:numId="38">
    <w:abstractNumId w:val="7"/>
  </w:num>
  <w:num w:numId="39">
    <w:abstractNumId w:val="13"/>
  </w:num>
  <w:num w:numId="4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04E74"/>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04E74"/>
    <w:pPr>
      <w:spacing w:after="120"/>
    </w:pPr>
  </w:style>
  <w:style w:type="character" w:customStyle="1" w:styleId="af6">
    <w:name w:val="正文文本 字符"/>
    <w:basedOn w:val="a0"/>
    <w:link w:val="af5"/>
    <w:uiPriority w:val="99"/>
    <w:rsid w:val="00504E7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265746-F06E-4590-A757-5025DC4EFE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600</Words>
  <Characters>3423</Characters>
  <Application>Microsoft Office Word</Application>
  <DocSecurity>0</DocSecurity>
  <Lines>28</Lines>
  <Paragraphs>8</Paragraphs>
  <ScaleCrop>false</ScaleCrop>
  <Company/>
  <LinksUpToDate>false</LinksUpToDate>
  <CharactersWithSpaces>4015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2026-07-06T22:36:00Z</dcterms:created>
  <dcterms:modified xsi:type="dcterms:W3CDTF">2026-07-06T22:36:00Z</dcterms:modified>
</cp:coreProperties>
</file>