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3095E0" w:rsidR="0049405C" w:rsidRPr="00187BAA" w:rsidRDefault="000A2990" w:rsidP="000A2990">
            <w:pPr>
              <w:spacing w:line="720" w:lineRule="auto"/>
              <w:rPr>
                <w:rFonts w:ascii="宋体" w:eastAsia="宋体" w:hAnsi="宋体"/>
                <w:color w:val="545551"/>
              </w:rPr>
            </w:pPr>
            <w:bookmarkStart w:id="0" w:name="xingming"/>
            <w:bookmarkStart w:id="1" w:name="_GoBack"/>
            <w:bookmarkEnd w:id="1"/>
            <w:r w:rsidRPr="000A2990">
              <w:rPr>
                <w:rFonts w:ascii="宋体" w:eastAsia="宋体" w:hAnsi="Times New Roman" w:hint="eastAsia"/>
                <w:b/>
                <w:color w:val="000000"/>
                <w:sz w:val="48"/>
              </w:rPr>
              <w:t>祁放</w:t>
            </w:r>
            <w:bookmarkEnd w:id="0"/>
          </w:p>
          <w:p w14:paraId="706EB16B" w14:textId="66F28B03" w:rsidR="0049405C" w:rsidRPr="00187BAA" w:rsidRDefault="000A2990" w:rsidP="000A2990">
            <w:pPr>
              <w:spacing w:line="360" w:lineRule="auto"/>
              <w:rPr>
                <w:rFonts w:ascii="宋体" w:eastAsia="宋体" w:hAnsi="宋体"/>
                <w:b/>
                <w:bCs/>
                <w:color w:val="545551"/>
              </w:rPr>
            </w:pPr>
            <w:bookmarkStart w:id="2" w:name="didian"/>
            <w:r w:rsidRPr="000A2990">
              <w:rPr>
                <w:rFonts w:ascii="宋体" w:eastAsia="宋体" w:hAnsi="Times New Roman" w:hint="eastAsia"/>
                <w:b/>
                <w:bCs/>
                <w:color w:val="000000"/>
              </w:rPr>
              <w:t>合伙人·北京</w:t>
            </w:r>
            <w:bookmarkEnd w:id="2"/>
          </w:p>
          <w:p w14:paraId="6199424A" w14:textId="01CBEDBA" w:rsidR="0049405C" w:rsidRPr="00187BAA" w:rsidRDefault="000A2990" w:rsidP="000A2990">
            <w:pPr>
              <w:spacing w:line="360" w:lineRule="auto"/>
              <w:rPr>
                <w:rFonts w:ascii="宋体" w:eastAsia="宋体" w:hAnsi="宋体"/>
                <w:color w:val="545551"/>
              </w:rPr>
            </w:pPr>
            <w:bookmarkStart w:id="3" w:name="dianhua"/>
            <w:r w:rsidRPr="000A2990">
              <w:rPr>
                <w:rFonts w:ascii="宋体" w:eastAsia="宋体" w:hAnsi="Times New Roman"/>
                <w:color w:val="000000"/>
              </w:rPr>
              <w:t xml:space="preserve">+86 10 5769 5600 </w:t>
            </w:r>
            <w:bookmarkEnd w:id="3"/>
          </w:p>
          <w:p w14:paraId="4F910ACA" w14:textId="076BA0D0" w:rsidR="0049405C" w:rsidRPr="00187BAA" w:rsidRDefault="000A2990" w:rsidP="000A2990">
            <w:pPr>
              <w:spacing w:line="360" w:lineRule="auto"/>
              <w:rPr>
                <w:rFonts w:ascii="宋体" w:eastAsia="宋体" w:hAnsi="宋体"/>
                <w:color w:val="000000"/>
              </w:rPr>
            </w:pPr>
            <w:bookmarkStart w:id="4" w:name="youxiang"/>
            <w:r w:rsidRPr="000A2990">
              <w:rPr>
                <w:rFonts w:ascii="宋体" w:eastAsia="宋体" w:hAnsi="Times New Roman"/>
                <w:color w:val="000000"/>
              </w:rPr>
              <w:t>fang.qi@fangdalaw.com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5015B5" w:rsidR="0049405C" w:rsidRPr="00187BAA" w:rsidRDefault="000A299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5D8263" wp14:editId="0DFD069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04ED6F" w:rsidR="009465FB" w:rsidRPr="00187BAA" w:rsidRDefault="000A2990" w:rsidP="007177F3">
            <w:pPr>
              <w:rPr>
                <w:rFonts w:ascii="宋体" w:eastAsia="宋体" w:hAnsi="宋体"/>
                <w:color w:val="000000"/>
                <w:szCs w:val="21"/>
              </w:rPr>
            </w:pPr>
            <w:bookmarkStart w:id="6" w:name="zhiyelingyu"/>
            <w:r w:rsidRPr="000A2990">
              <w:rPr>
                <w:rFonts w:ascii="宋体" w:eastAsia="宋体" w:hAnsi="Times New Roman" w:hint="eastAsia"/>
                <w:color w:val="000000"/>
                <w:szCs w:val="21"/>
              </w:rPr>
              <w:t>祁放博士的主要执业领域包括与知识产权相关的交易、诉讼以及反垄断诉讼。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12ED58" w14:textId="77777777" w:rsidR="000A299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FB5584" w14:textId="77777777" w:rsidR="000A2990" w:rsidRDefault="000A2990" w:rsidP="000A2990">
      <w:pPr>
        <w:pStyle w:val="af5"/>
        <w:spacing w:before="120"/>
        <w:rPr>
          <w:rFonts w:ascii="宋体" w:eastAsia="宋体" w:hAnsi="Times New Roman"/>
          <w:color w:val="000000"/>
        </w:rPr>
      </w:pPr>
      <w:r w:rsidRPr="000A2990">
        <w:rPr>
          <w:rFonts w:ascii="宋体" w:eastAsia="宋体" w:hAnsi="Times New Roman" w:hint="eastAsia"/>
          <w:color w:val="000000"/>
        </w:rPr>
        <w:t>祁放博士与电子、通讯、新能源、石油化工、医药、消费品、以及制造公司有丰富的合作经验。祁放博士的工作包括帮助客户保护技术秘密和发明、参与知识产权相关的交易、和代理各个阶段的知识产权侵权和反垄断纠纷。祁放博士代表客户处理的多个案件被最高人民法院，省高院和知识产权局评为年度</w:t>
      </w:r>
      <w:r w:rsidRPr="000A2990">
        <w:rPr>
          <w:rFonts w:ascii="宋体" w:eastAsia="宋体" w:hAnsi="Times New Roman"/>
          <w:color w:val="000000"/>
        </w:rPr>
        <w:t>10大或最佳案件。祁放博士在各类知识产权和反垄断问题上均有广泛的研究和评论，同时也是《中国知识产权》一书的作者之一。祁放博士被《中国商法》评为100位最杰出的律师之一，也被钱伯斯，中国法律实践和亚洲法律列为知识产权诉讼领域的推荐律师。</w:t>
      </w:r>
    </w:p>
    <w:p w14:paraId="0E791BDB" w14:textId="77777777" w:rsidR="000A2990" w:rsidRDefault="000A2990" w:rsidP="000A2990">
      <w:pPr>
        <w:pStyle w:val="af5"/>
        <w:spacing w:before="120"/>
        <w:rPr>
          <w:rFonts w:ascii="宋体" w:eastAsia="宋体" w:hAnsi="Times New Roman"/>
          <w:color w:val="000000"/>
        </w:rPr>
      </w:pPr>
      <w:r w:rsidRPr="000A2990">
        <w:rPr>
          <w:rFonts w:ascii="宋体" w:eastAsia="宋体" w:hAnsi="Times New Roman" w:hint="eastAsia"/>
          <w:color w:val="000000"/>
        </w:rPr>
        <w:t>祁放博士毕业于哥伦比亚大学法学院。在校期间，他是</w:t>
      </w:r>
      <w:r w:rsidRPr="000A2990">
        <w:rPr>
          <w:rFonts w:ascii="宋体" w:eastAsia="宋体" w:hAnsi="Times New Roman"/>
          <w:color w:val="000000"/>
        </w:rPr>
        <w:t xml:space="preserve"> Harlan Fiske Stone 奖的获得者，以及《哥伦比亚科学和技术法学评论》的编辑。</w:t>
      </w:r>
    </w:p>
    <w:p w14:paraId="3FB42157" w14:textId="77777777" w:rsidR="000A2990" w:rsidRDefault="000A2990" w:rsidP="000A2990">
      <w:pPr>
        <w:pStyle w:val="af5"/>
        <w:spacing w:after="0" w:line="480" w:lineRule="auto"/>
        <w:rPr>
          <w:rFonts w:ascii="宋体" w:eastAsia="宋体" w:hAnsi="宋体"/>
          <w:b/>
          <w:sz w:val="24"/>
        </w:rPr>
      </w:pPr>
      <w:r w:rsidRPr="000A2990">
        <w:rPr>
          <w:rFonts w:ascii="宋体" w:eastAsia="宋体" w:hAnsi="宋体" w:hint="eastAsia"/>
          <w:b/>
          <w:sz w:val="24"/>
        </w:rPr>
        <w:t>近期代理的主要案件</w:t>
      </w:r>
    </w:p>
    <w:p w14:paraId="14292973" w14:textId="77777777" w:rsidR="000A2990" w:rsidRDefault="000A2990" w:rsidP="000A2990">
      <w:pPr>
        <w:pStyle w:val="af5"/>
        <w:spacing w:before="120"/>
        <w:rPr>
          <w:rFonts w:ascii="宋体" w:eastAsia="宋体" w:hAnsi="Times New Roman"/>
          <w:color w:val="000000"/>
        </w:rPr>
      </w:pPr>
      <w:r w:rsidRPr="000A2990">
        <w:rPr>
          <w:rFonts w:ascii="宋体" w:eastAsia="宋体" w:hAnsi="Times New Roman" w:hint="eastAsia"/>
          <w:color w:val="000000"/>
        </w:rPr>
        <w:t>知识产权相关的诉讼业务</w:t>
      </w:r>
    </w:p>
    <w:p w14:paraId="00E15E62" w14:textId="77777777" w:rsidR="000A2990" w:rsidRDefault="000A2990" w:rsidP="000A2990">
      <w:pPr>
        <w:pStyle w:val="af5"/>
        <w:numPr>
          <w:ilvl w:val="0"/>
          <w:numId w:val="1"/>
        </w:numPr>
        <w:spacing w:before="120"/>
        <w:ind w:left="690" w:hanging="240"/>
        <w:rPr>
          <w:rFonts w:ascii="宋体" w:eastAsia="宋体" w:hAnsi="Times New Roman"/>
          <w:color w:val="000000"/>
        </w:rPr>
      </w:pPr>
      <w:r w:rsidRPr="000A2990">
        <w:rPr>
          <w:rFonts w:ascii="宋体" w:eastAsia="宋体" w:hAnsi="Times New Roman" w:hint="eastAsia"/>
          <w:color w:val="000000"/>
        </w:rPr>
        <w:t>代表华生制药应对一起由礼来公司提起的关于奥氮平生产工艺专利的侵权诉讼，并获得胜诉判决。本案被选入最高人民法院指导性案例。</w:t>
      </w:r>
    </w:p>
    <w:p w14:paraId="66FFDE7E" w14:textId="77777777" w:rsidR="000A2990" w:rsidRDefault="000A2990" w:rsidP="000A2990">
      <w:pPr>
        <w:pStyle w:val="af5"/>
        <w:numPr>
          <w:ilvl w:val="0"/>
          <w:numId w:val="2"/>
        </w:numPr>
        <w:spacing w:before="120"/>
        <w:ind w:left="690" w:hanging="240"/>
        <w:rPr>
          <w:rFonts w:ascii="宋体" w:eastAsia="宋体" w:hAnsi="Times New Roman"/>
          <w:color w:val="000000"/>
        </w:rPr>
      </w:pPr>
      <w:r w:rsidRPr="000A2990">
        <w:rPr>
          <w:rFonts w:ascii="宋体" w:eastAsia="宋体" w:hAnsi="Times New Roman" w:hint="eastAsia"/>
          <w:color w:val="000000"/>
        </w:rPr>
        <w:t>代表美国德州仪器公司在深圳市中级人民法院应对一起由专利经营实体提起的专利侵权诉讼，并获得客户满意的结果</w:t>
      </w:r>
    </w:p>
    <w:p w14:paraId="033956E9" w14:textId="77777777" w:rsidR="000A2990" w:rsidRDefault="000A2990" w:rsidP="000A2990">
      <w:pPr>
        <w:pStyle w:val="af5"/>
        <w:numPr>
          <w:ilvl w:val="0"/>
          <w:numId w:val="3"/>
        </w:numPr>
        <w:spacing w:before="120"/>
        <w:ind w:left="690" w:hanging="240"/>
        <w:rPr>
          <w:rFonts w:ascii="宋体" w:eastAsia="宋体" w:hAnsi="Times New Roman"/>
          <w:color w:val="000000"/>
        </w:rPr>
      </w:pPr>
      <w:r w:rsidRPr="000A2990">
        <w:rPr>
          <w:rFonts w:ascii="宋体" w:eastAsia="宋体" w:hAnsi="Times New Roman" w:hint="eastAsia"/>
          <w:color w:val="000000"/>
        </w:rPr>
        <w:t>代表美国帕沃英蒂格盛股份有限公司在江苏省高级人民法院应对由某国际知名半导体生产商提起的一系列电源控制芯片设计技术相关的发明专利侵权诉讼</w:t>
      </w:r>
    </w:p>
    <w:p w14:paraId="0F798274" w14:textId="77777777" w:rsidR="000A2990" w:rsidRDefault="000A2990" w:rsidP="000A2990">
      <w:pPr>
        <w:pStyle w:val="af5"/>
        <w:numPr>
          <w:ilvl w:val="0"/>
          <w:numId w:val="4"/>
        </w:numPr>
        <w:spacing w:before="120"/>
        <w:ind w:left="690" w:hanging="240"/>
        <w:rPr>
          <w:rFonts w:ascii="宋体" w:eastAsia="宋体" w:hAnsi="Times New Roman"/>
          <w:color w:val="000000"/>
        </w:rPr>
      </w:pPr>
      <w:r w:rsidRPr="000A2990">
        <w:rPr>
          <w:rFonts w:ascii="宋体" w:eastAsia="宋体" w:hAnsi="Times New Roman" w:hint="eastAsia"/>
          <w:color w:val="000000"/>
        </w:rPr>
        <w:t>代表德国卡尔蔡司</w:t>
      </w:r>
      <w:r w:rsidRPr="000A2990">
        <w:rPr>
          <w:rFonts w:ascii="宋体" w:eastAsia="宋体" w:hAnsi="Times New Roman"/>
          <w:color w:val="000000"/>
        </w:rPr>
        <w:t>SMT股份公司成功对株式会社尼康的三件光刻机相关的中国发明专利提出无效宣告请求。该案被专利复审委员会评为年度十大案件</w:t>
      </w:r>
    </w:p>
    <w:p w14:paraId="2CD63274" w14:textId="77777777" w:rsidR="000A2990" w:rsidRDefault="000A2990" w:rsidP="000A2990">
      <w:pPr>
        <w:pStyle w:val="af5"/>
        <w:numPr>
          <w:ilvl w:val="0"/>
          <w:numId w:val="5"/>
        </w:numPr>
        <w:spacing w:before="120"/>
        <w:ind w:left="690" w:hanging="240"/>
        <w:rPr>
          <w:rFonts w:ascii="宋体" w:eastAsia="宋体" w:hAnsi="Times New Roman"/>
          <w:color w:val="000000"/>
        </w:rPr>
      </w:pPr>
      <w:r w:rsidRPr="000A2990">
        <w:rPr>
          <w:rFonts w:ascii="宋体" w:eastAsia="宋体" w:hAnsi="Times New Roman" w:hint="eastAsia"/>
          <w:color w:val="000000"/>
        </w:rPr>
        <w:t>代表美国交换数字公司在深圳市中级人民法院，广东省高级人民法院，江苏省高级人民法院和最高人民法院处理多件反垄断和</w:t>
      </w:r>
      <w:r w:rsidRPr="000A2990">
        <w:rPr>
          <w:rFonts w:ascii="宋体" w:eastAsia="宋体" w:hAnsi="Times New Roman"/>
          <w:color w:val="000000"/>
        </w:rPr>
        <w:t>FRAND许可相关的诉讼案件。其中的案件被最高人民法院评为年度十大案件</w:t>
      </w:r>
    </w:p>
    <w:p w14:paraId="06EBC00B" w14:textId="77777777" w:rsidR="000A2990" w:rsidRDefault="000A2990" w:rsidP="000A2990">
      <w:pPr>
        <w:pStyle w:val="af5"/>
        <w:numPr>
          <w:ilvl w:val="0"/>
          <w:numId w:val="6"/>
        </w:numPr>
        <w:spacing w:before="120"/>
        <w:ind w:left="690" w:hanging="240"/>
        <w:rPr>
          <w:rFonts w:ascii="宋体" w:eastAsia="宋体" w:hAnsi="Times New Roman"/>
          <w:color w:val="000000"/>
        </w:rPr>
      </w:pPr>
      <w:r w:rsidRPr="000A2990">
        <w:rPr>
          <w:rFonts w:ascii="宋体" w:eastAsia="宋体" w:hAnsi="Times New Roman" w:hint="eastAsia"/>
          <w:color w:val="000000"/>
        </w:rPr>
        <w:t>代表美国威睿公司在北京知识产权法院处理其前经销商提起的滥用市场支配地位的案件</w:t>
      </w:r>
    </w:p>
    <w:p w14:paraId="71C87EF9" w14:textId="77777777" w:rsidR="000A2990" w:rsidRDefault="000A2990" w:rsidP="000A2990">
      <w:pPr>
        <w:pStyle w:val="af5"/>
        <w:numPr>
          <w:ilvl w:val="0"/>
          <w:numId w:val="7"/>
        </w:numPr>
        <w:spacing w:before="120"/>
        <w:ind w:left="690" w:hanging="240"/>
        <w:rPr>
          <w:rFonts w:ascii="宋体" w:eastAsia="宋体" w:hAnsi="Times New Roman"/>
          <w:color w:val="000000"/>
        </w:rPr>
      </w:pPr>
      <w:r w:rsidRPr="000A2990">
        <w:rPr>
          <w:rFonts w:ascii="宋体" w:eastAsia="宋体" w:hAnsi="Times New Roman" w:hint="eastAsia"/>
          <w:color w:val="000000"/>
        </w:rPr>
        <w:t>代表美国通用电气公司获得针对其前雇员盗用相关商业秘密的诉前禁令，促使该雇员归还和销毁相关的商业秘密</w:t>
      </w:r>
    </w:p>
    <w:p w14:paraId="3AB17E0B" w14:textId="77777777" w:rsidR="000A2990" w:rsidRDefault="000A2990" w:rsidP="000A2990">
      <w:pPr>
        <w:pStyle w:val="af5"/>
        <w:numPr>
          <w:ilvl w:val="0"/>
          <w:numId w:val="8"/>
        </w:numPr>
        <w:spacing w:before="120"/>
        <w:ind w:left="690" w:hanging="240"/>
        <w:rPr>
          <w:rFonts w:ascii="宋体" w:eastAsia="宋体" w:hAnsi="Times New Roman"/>
          <w:color w:val="000000"/>
        </w:rPr>
      </w:pPr>
      <w:r w:rsidRPr="000A2990">
        <w:rPr>
          <w:rFonts w:ascii="宋体" w:eastAsia="宋体" w:hAnsi="Times New Roman" w:hint="eastAsia"/>
          <w:color w:val="000000"/>
        </w:rPr>
        <w:t>代表一家国际领先的石化企业针对其前中国合作者盗用其商业秘密提起诉讼，</w:t>
      </w:r>
      <w:r w:rsidRPr="000A2990">
        <w:rPr>
          <w:rFonts w:ascii="宋体" w:eastAsia="宋体" w:hAnsi="Times New Roman"/>
          <w:color w:val="000000"/>
        </w:rPr>
        <w:t xml:space="preserve"> 提出高额索赔请求，并参与后续的和解谈判</w:t>
      </w:r>
    </w:p>
    <w:p w14:paraId="179E6646" w14:textId="77777777" w:rsidR="000A2990" w:rsidRDefault="000A2990" w:rsidP="000A2990">
      <w:pPr>
        <w:pStyle w:val="af5"/>
        <w:numPr>
          <w:ilvl w:val="0"/>
          <w:numId w:val="9"/>
        </w:numPr>
        <w:spacing w:before="120"/>
        <w:ind w:left="690" w:hanging="240"/>
        <w:rPr>
          <w:rFonts w:ascii="宋体" w:eastAsia="宋体" w:hAnsi="Times New Roman"/>
          <w:color w:val="000000"/>
        </w:rPr>
      </w:pPr>
      <w:r w:rsidRPr="000A2990">
        <w:rPr>
          <w:rFonts w:ascii="宋体" w:eastAsia="宋体" w:hAnsi="Times New Roman" w:hint="eastAsia"/>
          <w:color w:val="000000"/>
        </w:rPr>
        <w:t>就瑞典斯德哥尔摩商会仲裁机构作出的针对鲁西化工的近</w:t>
      </w:r>
      <w:r w:rsidRPr="000A2990">
        <w:rPr>
          <w:rFonts w:ascii="宋体" w:eastAsia="宋体" w:hAnsi="Times New Roman"/>
          <w:color w:val="000000"/>
        </w:rPr>
        <w:t>8亿元人民币赔偿金额的裁决，代表陶氏化学和庄信万丰申请承认和执行该仲裁裁决，并获得聊城中院的支持。</w:t>
      </w:r>
    </w:p>
    <w:p w14:paraId="0EA92479" w14:textId="77777777" w:rsidR="000A2990" w:rsidRDefault="000A2990" w:rsidP="000A2990">
      <w:pPr>
        <w:pStyle w:val="af5"/>
        <w:numPr>
          <w:ilvl w:val="0"/>
          <w:numId w:val="10"/>
        </w:numPr>
        <w:spacing w:before="120"/>
        <w:ind w:left="690" w:hanging="240"/>
        <w:rPr>
          <w:rFonts w:ascii="宋体" w:eastAsia="宋体" w:hAnsi="Times New Roman"/>
          <w:color w:val="000000"/>
        </w:rPr>
      </w:pPr>
      <w:r w:rsidRPr="000A2990">
        <w:rPr>
          <w:rFonts w:ascii="宋体" w:eastAsia="宋体" w:hAnsi="Times New Roman" w:hint="eastAsia"/>
          <w:color w:val="000000"/>
        </w:rPr>
        <w:t>代表字节跳动在北京市高级人民法院处理涉及抖音源代码软件著作权的侵权纠纷。</w:t>
      </w:r>
    </w:p>
    <w:p w14:paraId="1732CC46" w14:textId="77777777" w:rsidR="000A2990" w:rsidRDefault="000A2990" w:rsidP="000A2990">
      <w:pPr>
        <w:pStyle w:val="af5"/>
        <w:numPr>
          <w:ilvl w:val="0"/>
          <w:numId w:val="11"/>
        </w:numPr>
        <w:spacing w:before="120"/>
        <w:ind w:left="690" w:hanging="240"/>
        <w:rPr>
          <w:rFonts w:ascii="宋体" w:eastAsia="宋体" w:hAnsi="Times New Roman"/>
          <w:color w:val="000000"/>
        </w:rPr>
      </w:pPr>
      <w:r w:rsidRPr="000A2990">
        <w:rPr>
          <w:rFonts w:ascii="宋体" w:eastAsia="宋体" w:hAnsi="Times New Roman" w:hint="eastAsia"/>
          <w:color w:val="000000"/>
        </w:rPr>
        <w:t>代表一家国际领先的网络服务提供商处理多项涉及著作权和商标的行政和民事纠纷</w:t>
      </w:r>
    </w:p>
    <w:p w14:paraId="37D935AF" w14:textId="77777777" w:rsidR="000A2990" w:rsidRDefault="000A2990" w:rsidP="000A2990">
      <w:pPr>
        <w:pStyle w:val="af5"/>
        <w:numPr>
          <w:ilvl w:val="0"/>
          <w:numId w:val="12"/>
        </w:numPr>
        <w:spacing w:before="120"/>
        <w:ind w:left="690" w:hanging="240"/>
        <w:rPr>
          <w:rFonts w:ascii="宋体" w:eastAsia="宋体" w:hAnsi="Times New Roman"/>
          <w:color w:val="000000"/>
        </w:rPr>
      </w:pPr>
      <w:r w:rsidRPr="000A2990">
        <w:rPr>
          <w:rFonts w:ascii="宋体" w:eastAsia="宋体" w:hAnsi="Times New Roman" w:hint="eastAsia"/>
          <w:color w:val="000000"/>
        </w:rPr>
        <w:t>代表迈瑞医疗针对理邦精密仪器在深圳市中级人民法院以恶意诉讼为由提起侵权纠纷。双方最终达成和解</w:t>
      </w:r>
    </w:p>
    <w:p w14:paraId="75395EE9" w14:textId="77777777" w:rsidR="000A2990" w:rsidRDefault="000A2990" w:rsidP="000A2990">
      <w:pPr>
        <w:pStyle w:val="af5"/>
        <w:numPr>
          <w:ilvl w:val="0"/>
          <w:numId w:val="13"/>
        </w:numPr>
        <w:spacing w:before="120"/>
        <w:ind w:left="690" w:hanging="240"/>
        <w:rPr>
          <w:rFonts w:ascii="宋体" w:eastAsia="宋体" w:hAnsi="Times New Roman"/>
          <w:color w:val="000000"/>
        </w:rPr>
      </w:pPr>
      <w:r w:rsidRPr="000A2990">
        <w:rPr>
          <w:rFonts w:ascii="宋体" w:eastAsia="宋体" w:hAnsi="Times New Roman" w:hint="eastAsia"/>
          <w:color w:val="000000"/>
        </w:rPr>
        <w:t>针对乔丹体育股份有限公司侵犯姓名权和肖像权的行为，代表篮球巨星迈克尔·乔丹提起多个民事和行政诉讼，并在最高人民法院获得胜诉判决。本案被选入最高人民法院指导性案例</w:t>
      </w:r>
    </w:p>
    <w:p w14:paraId="4A86283F" w14:textId="77777777" w:rsidR="000A2990" w:rsidRDefault="000A2990" w:rsidP="000A2990">
      <w:pPr>
        <w:pStyle w:val="af5"/>
        <w:numPr>
          <w:ilvl w:val="0"/>
          <w:numId w:val="14"/>
        </w:numPr>
        <w:spacing w:before="120"/>
        <w:ind w:left="690" w:hanging="240"/>
        <w:rPr>
          <w:rFonts w:ascii="宋体" w:eastAsia="宋体" w:hAnsi="Times New Roman"/>
          <w:color w:val="000000"/>
        </w:rPr>
      </w:pPr>
      <w:r w:rsidRPr="000A2990">
        <w:rPr>
          <w:rFonts w:ascii="宋体" w:eastAsia="宋体" w:hAnsi="Times New Roman" w:hint="eastAsia"/>
          <w:color w:val="000000"/>
        </w:rPr>
        <w:t>代表电动汽车公司特斯拉针对商标和域名的抢注者采取一系列法律行动包括提起行政和民事诉讼。经过后续谈判，成功为客户夺回被抢注的全部商标及域名</w:t>
      </w:r>
    </w:p>
    <w:p w14:paraId="0A35B245" w14:textId="77777777" w:rsidR="000A2990" w:rsidRDefault="000A2990" w:rsidP="000A2990">
      <w:pPr>
        <w:pStyle w:val="af5"/>
        <w:spacing w:before="120"/>
        <w:rPr>
          <w:rFonts w:ascii="宋体" w:eastAsia="宋体" w:hAnsi="Times New Roman"/>
          <w:color w:val="000000"/>
        </w:rPr>
      </w:pPr>
      <w:r w:rsidRPr="000A2990">
        <w:rPr>
          <w:rFonts w:ascii="宋体" w:eastAsia="宋体" w:hAnsi="Times New Roman" w:hint="eastAsia"/>
          <w:color w:val="000000"/>
        </w:rPr>
        <w:t>知识产权相关的非诉讼业务</w:t>
      </w:r>
    </w:p>
    <w:p w14:paraId="1A1837D1" w14:textId="77777777" w:rsidR="000A2990" w:rsidRDefault="000A2990" w:rsidP="000A2990">
      <w:pPr>
        <w:pStyle w:val="af5"/>
        <w:numPr>
          <w:ilvl w:val="0"/>
          <w:numId w:val="15"/>
        </w:numPr>
        <w:spacing w:before="120"/>
        <w:ind w:left="690" w:hanging="240"/>
        <w:rPr>
          <w:rFonts w:ascii="宋体" w:eastAsia="宋体" w:hAnsi="Times New Roman"/>
          <w:color w:val="000000"/>
        </w:rPr>
      </w:pPr>
      <w:r w:rsidRPr="000A2990">
        <w:rPr>
          <w:rFonts w:ascii="宋体" w:eastAsia="宋体" w:hAnsi="Times New Roman" w:hint="eastAsia"/>
          <w:color w:val="000000"/>
        </w:rPr>
        <w:t>代表一家瑞士公司应对国家体育总局关于其运动气枪产品安全和设计合规问题的调查</w:t>
      </w:r>
    </w:p>
    <w:p w14:paraId="4CDE452B" w14:textId="77777777" w:rsidR="000A2990" w:rsidRDefault="000A2990" w:rsidP="000A2990">
      <w:pPr>
        <w:pStyle w:val="af5"/>
        <w:numPr>
          <w:ilvl w:val="0"/>
          <w:numId w:val="16"/>
        </w:numPr>
        <w:spacing w:before="120"/>
        <w:ind w:left="690" w:hanging="240"/>
        <w:rPr>
          <w:rFonts w:ascii="宋体" w:eastAsia="宋体" w:hAnsi="Times New Roman"/>
          <w:color w:val="000000"/>
        </w:rPr>
      </w:pPr>
      <w:r w:rsidRPr="000A2990">
        <w:rPr>
          <w:rFonts w:ascii="宋体" w:eastAsia="宋体" w:hAnsi="Times New Roman" w:hint="eastAsia"/>
          <w:color w:val="000000"/>
        </w:rPr>
        <w:t>代表一家欧洲医药企业应对国家药品监督管理局关于其药品申请注册相关的事宜</w:t>
      </w:r>
    </w:p>
    <w:p w14:paraId="6F1A6152" w14:textId="77777777" w:rsidR="000A2990" w:rsidRDefault="000A2990" w:rsidP="000A2990">
      <w:pPr>
        <w:pStyle w:val="af5"/>
        <w:numPr>
          <w:ilvl w:val="0"/>
          <w:numId w:val="17"/>
        </w:numPr>
        <w:spacing w:before="120"/>
        <w:ind w:left="690" w:hanging="240"/>
        <w:rPr>
          <w:rFonts w:ascii="宋体" w:eastAsia="宋体" w:hAnsi="Times New Roman"/>
          <w:color w:val="000000"/>
        </w:rPr>
      </w:pPr>
      <w:r w:rsidRPr="000A2990">
        <w:rPr>
          <w:rFonts w:ascii="宋体" w:eastAsia="宋体" w:hAnsi="Times New Roman" w:hint="eastAsia"/>
          <w:color w:val="000000"/>
        </w:rPr>
        <w:t>在涉及某欧洲健康科技公司的投资项目上提供知识产权尽职调查服务，包括针对该健康科技有限公司知识产权和产品合规相关问题进行调查和分析</w:t>
      </w:r>
    </w:p>
    <w:p w14:paraId="389DA234" w14:textId="77777777" w:rsidR="000A2990" w:rsidRDefault="000A2990" w:rsidP="000A2990">
      <w:pPr>
        <w:pStyle w:val="af5"/>
        <w:numPr>
          <w:ilvl w:val="0"/>
          <w:numId w:val="18"/>
        </w:numPr>
        <w:spacing w:before="120"/>
        <w:ind w:left="690" w:hanging="240"/>
        <w:rPr>
          <w:rFonts w:ascii="宋体" w:eastAsia="宋体" w:hAnsi="Times New Roman"/>
          <w:color w:val="000000"/>
        </w:rPr>
      </w:pPr>
      <w:r w:rsidRPr="000A2990">
        <w:rPr>
          <w:rFonts w:ascii="宋体" w:eastAsia="宋体" w:hAnsi="Times New Roman" w:hint="eastAsia"/>
          <w:color w:val="000000"/>
        </w:rPr>
        <w:t>代表日本电信公司参与与国内某智能手机生产商关于通信领域标准必要专利许可和转让的谈判</w:t>
      </w:r>
    </w:p>
    <w:p w14:paraId="6B6EA908" w14:textId="77777777" w:rsidR="000A2990" w:rsidRDefault="000A2990" w:rsidP="000A2990">
      <w:pPr>
        <w:pStyle w:val="af5"/>
        <w:numPr>
          <w:ilvl w:val="0"/>
          <w:numId w:val="19"/>
        </w:numPr>
        <w:spacing w:before="120"/>
        <w:ind w:left="690" w:hanging="240"/>
        <w:rPr>
          <w:rFonts w:ascii="宋体" w:eastAsia="宋体" w:hAnsi="Times New Roman"/>
          <w:color w:val="000000"/>
        </w:rPr>
      </w:pPr>
      <w:r w:rsidRPr="000A2990">
        <w:rPr>
          <w:rFonts w:ascii="宋体" w:eastAsia="宋体" w:hAnsi="Times New Roman" w:hint="eastAsia"/>
          <w:color w:val="000000"/>
        </w:rPr>
        <w:t>为某国内领先的保险企业设计商业秘密的保护规范并提供相关培训</w:t>
      </w:r>
    </w:p>
    <w:p w14:paraId="59D03C01" w14:textId="77777777" w:rsidR="000A2990" w:rsidRDefault="000A2990" w:rsidP="000A2990">
      <w:pPr>
        <w:pStyle w:val="af5"/>
        <w:numPr>
          <w:ilvl w:val="0"/>
          <w:numId w:val="20"/>
        </w:numPr>
        <w:spacing w:before="120"/>
        <w:ind w:left="690" w:hanging="240"/>
        <w:rPr>
          <w:rFonts w:ascii="宋体" w:eastAsia="宋体" w:hAnsi="Times New Roman"/>
          <w:color w:val="000000"/>
        </w:rPr>
      </w:pPr>
      <w:r w:rsidRPr="000A2990">
        <w:rPr>
          <w:rFonts w:ascii="宋体" w:eastAsia="宋体" w:hAnsi="Times New Roman" w:hint="eastAsia"/>
          <w:color w:val="000000"/>
        </w:rPr>
        <w:t>基于某专利运营实体向美国暴雪娱乐公司主张权利就中国法相关问题出具法律意见</w:t>
      </w:r>
    </w:p>
    <w:p w14:paraId="62F31831" w14:textId="77777777" w:rsidR="000A2990" w:rsidRDefault="000A2990" w:rsidP="000A2990">
      <w:pPr>
        <w:pStyle w:val="af5"/>
        <w:numPr>
          <w:ilvl w:val="0"/>
          <w:numId w:val="21"/>
        </w:numPr>
        <w:spacing w:before="120"/>
        <w:ind w:left="690" w:hanging="240"/>
        <w:rPr>
          <w:rFonts w:ascii="宋体" w:eastAsia="宋体" w:hAnsi="Times New Roman"/>
          <w:color w:val="000000"/>
        </w:rPr>
      </w:pPr>
      <w:r w:rsidRPr="000A2990">
        <w:rPr>
          <w:rFonts w:ascii="宋体" w:eastAsia="宋体" w:hAnsi="Times New Roman" w:hint="eastAsia"/>
          <w:color w:val="000000"/>
        </w:rPr>
        <w:t>向某家用电器生产商就其市场营销行为中涉及的多项知识产权问题出具法律意见</w:t>
      </w:r>
    </w:p>
    <w:p w14:paraId="7DFFBC2A" w14:textId="77777777" w:rsidR="000A2990" w:rsidRDefault="000A2990" w:rsidP="000A2990">
      <w:pPr>
        <w:pStyle w:val="af5"/>
        <w:numPr>
          <w:ilvl w:val="0"/>
          <w:numId w:val="22"/>
        </w:numPr>
        <w:spacing w:before="120"/>
        <w:ind w:left="690" w:hanging="240"/>
        <w:rPr>
          <w:rFonts w:ascii="宋体" w:eastAsia="宋体" w:hAnsi="Times New Roman"/>
          <w:color w:val="000000"/>
        </w:rPr>
      </w:pPr>
      <w:r w:rsidRPr="000A2990">
        <w:rPr>
          <w:rFonts w:ascii="宋体" w:eastAsia="宋体" w:hAnsi="Times New Roman" w:hint="eastAsia"/>
          <w:color w:val="000000"/>
        </w:rPr>
        <w:t>就美国空气产品公司在进出口和商业合作过程中遇到的知识产权问题出具法律意见</w:t>
      </w:r>
    </w:p>
    <w:p w14:paraId="45FEFB3A" w14:textId="77777777" w:rsidR="000A2990" w:rsidRDefault="000A2990" w:rsidP="000A2990">
      <w:pPr>
        <w:pStyle w:val="af5"/>
        <w:numPr>
          <w:ilvl w:val="0"/>
          <w:numId w:val="23"/>
        </w:numPr>
        <w:spacing w:before="120"/>
        <w:ind w:left="690" w:hanging="240"/>
        <w:rPr>
          <w:rFonts w:ascii="宋体" w:eastAsia="宋体" w:hAnsi="Times New Roman"/>
          <w:color w:val="000000"/>
        </w:rPr>
      </w:pPr>
      <w:r w:rsidRPr="000A2990">
        <w:rPr>
          <w:rFonts w:ascii="宋体" w:eastAsia="宋体" w:hAnsi="Times New Roman" w:hint="eastAsia"/>
          <w:color w:val="000000"/>
        </w:rPr>
        <w:t>应投资人的要求，针对医药，生物，电子，和制造等领域的公司进行知识产权尽职调查，并出具法律意见</w:t>
      </w:r>
    </w:p>
    <w:p w14:paraId="56B35212" w14:textId="77777777" w:rsidR="000A2990" w:rsidRDefault="000A2990" w:rsidP="000A2990">
      <w:pPr>
        <w:pStyle w:val="af5"/>
        <w:numPr>
          <w:ilvl w:val="0"/>
          <w:numId w:val="24"/>
        </w:numPr>
        <w:spacing w:before="120"/>
        <w:ind w:left="690" w:hanging="240"/>
        <w:rPr>
          <w:rFonts w:ascii="宋体" w:eastAsia="宋体" w:hAnsi="Times New Roman"/>
          <w:color w:val="000000"/>
        </w:rPr>
      </w:pPr>
      <w:r w:rsidRPr="000A2990">
        <w:rPr>
          <w:rFonts w:ascii="宋体" w:eastAsia="宋体" w:hAnsi="Times New Roman" w:hint="eastAsia"/>
          <w:color w:val="000000"/>
        </w:rPr>
        <w:t>就德国英飞凌科技公司与本地合作企业针对技术销售及研发合作是否符合反垄断法的规定出具法律意见</w:t>
      </w:r>
    </w:p>
    <w:p w14:paraId="0C77B442" w14:textId="77777777" w:rsidR="000A2990" w:rsidRDefault="000A2990" w:rsidP="000A2990">
      <w:pPr>
        <w:pStyle w:val="af5"/>
        <w:numPr>
          <w:ilvl w:val="0"/>
          <w:numId w:val="25"/>
        </w:numPr>
        <w:spacing w:before="120"/>
        <w:ind w:left="690" w:hanging="240"/>
        <w:rPr>
          <w:rFonts w:ascii="宋体" w:eastAsia="宋体" w:hAnsi="Times New Roman"/>
          <w:color w:val="000000"/>
        </w:rPr>
      </w:pPr>
      <w:r w:rsidRPr="000A2990">
        <w:rPr>
          <w:rFonts w:ascii="宋体" w:eastAsia="宋体" w:hAnsi="Times New Roman" w:hint="eastAsia"/>
          <w:color w:val="000000"/>
        </w:rPr>
        <w:t>代表上海世禄仪器有限公司处理其与某科研单位的专利购买和技术合作开发事宜</w:t>
      </w:r>
    </w:p>
    <w:p w14:paraId="03657065" w14:textId="77777777" w:rsidR="000A2990" w:rsidRDefault="000A2990" w:rsidP="000A2990">
      <w:pPr>
        <w:pStyle w:val="af5"/>
        <w:spacing w:after="0" w:line="480" w:lineRule="auto"/>
        <w:rPr>
          <w:rFonts w:ascii="宋体" w:eastAsia="宋体" w:hAnsi="宋体"/>
          <w:b/>
          <w:sz w:val="24"/>
        </w:rPr>
      </w:pPr>
      <w:r w:rsidRPr="000A2990">
        <w:rPr>
          <w:rFonts w:ascii="宋体" w:eastAsia="宋体" w:hAnsi="宋体" w:hint="eastAsia"/>
          <w:b/>
          <w:sz w:val="24"/>
        </w:rPr>
        <w:t>教育背景</w:t>
      </w:r>
    </w:p>
    <w:p w14:paraId="4387E8D7" w14:textId="77777777" w:rsidR="000A2990" w:rsidRDefault="000A2990" w:rsidP="000A2990">
      <w:pPr>
        <w:pStyle w:val="af5"/>
        <w:numPr>
          <w:ilvl w:val="0"/>
          <w:numId w:val="26"/>
        </w:numPr>
        <w:spacing w:before="120"/>
        <w:ind w:left="690" w:hanging="240"/>
        <w:rPr>
          <w:rFonts w:ascii="宋体" w:eastAsia="宋体" w:hAnsi="Times New Roman"/>
          <w:color w:val="000000"/>
        </w:rPr>
      </w:pPr>
      <w:r w:rsidRPr="000A2990">
        <w:rPr>
          <w:rFonts w:ascii="宋体" w:eastAsia="宋体" w:hAnsi="Times New Roman" w:hint="eastAsia"/>
          <w:color w:val="000000"/>
        </w:rPr>
        <w:t>哥伦比亚大学法学院，法学博士</w:t>
      </w:r>
    </w:p>
    <w:p w14:paraId="0E150949" w14:textId="77777777" w:rsidR="000A2990" w:rsidRDefault="000A2990" w:rsidP="000A2990">
      <w:pPr>
        <w:pStyle w:val="af5"/>
        <w:numPr>
          <w:ilvl w:val="0"/>
          <w:numId w:val="27"/>
        </w:numPr>
        <w:spacing w:before="120"/>
        <w:ind w:left="690" w:hanging="240"/>
        <w:rPr>
          <w:rFonts w:ascii="宋体" w:eastAsia="宋体" w:hAnsi="Times New Roman"/>
          <w:color w:val="000000"/>
        </w:rPr>
      </w:pPr>
      <w:r w:rsidRPr="000A2990">
        <w:rPr>
          <w:rFonts w:ascii="宋体" w:eastAsia="宋体" w:hAnsi="Times New Roman" w:hint="eastAsia"/>
          <w:color w:val="000000"/>
        </w:rPr>
        <w:t>纽约市立大学，理学博士，生物化学</w:t>
      </w:r>
    </w:p>
    <w:p w14:paraId="31A11455" w14:textId="77777777" w:rsidR="000A2990" w:rsidRDefault="000A2990" w:rsidP="000A2990">
      <w:pPr>
        <w:pStyle w:val="af5"/>
        <w:numPr>
          <w:ilvl w:val="0"/>
          <w:numId w:val="28"/>
        </w:numPr>
        <w:spacing w:before="120"/>
        <w:ind w:left="690" w:hanging="240"/>
        <w:rPr>
          <w:rFonts w:ascii="宋体" w:eastAsia="宋体" w:hAnsi="Times New Roman"/>
          <w:color w:val="000000"/>
        </w:rPr>
      </w:pPr>
      <w:r w:rsidRPr="000A2990">
        <w:rPr>
          <w:rFonts w:ascii="宋体" w:eastAsia="宋体" w:hAnsi="Times New Roman" w:hint="eastAsia"/>
          <w:color w:val="000000"/>
        </w:rPr>
        <w:t>北京大学，理学学士，生物化学和分子生物学</w:t>
      </w:r>
    </w:p>
    <w:p w14:paraId="6FCC7EBF" w14:textId="77777777" w:rsidR="000A2990" w:rsidRDefault="000A2990" w:rsidP="000A2990">
      <w:pPr>
        <w:pStyle w:val="af5"/>
        <w:spacing w:after="0" w:line="480" w:lineRule="auto"/>
        <w:rPr>
          <w:rFonts w:ascii="宋体" w:eastAsia="宋体" w:hAnsi="宋体"/>
          <w:b/>
          <w:sz w:val="24"/>
        </w:rPr>
      </w:pPr>
      <w:r w:rsidRPr="000A2990">
        <w:rPr>
          <w:rFonts w:ascii="宋体" w:eastAsia="宋体" w:hAnsi="宋体" w:hint="eastAsia"/>
          <w:b/>
          <w:sz w:val="24"/>
        </w:rPr>
        <w:t>执业资格</w:t>
      </w:r>
    </w:p>
    <w:p w14:paraId="2AEB724D" w14:textId="77777777" w:rsidR="000A2990" w:rsidRDefault="000A2990" w:rsidP="000A2990">
      <w:pPr>
        <w:pStyle w:val="af5"/>
        <w:numPr>
          <w:ilvl w:val="0"/>
          <w:numId w:val="29"/>
        </w:numPr>
        <w:spacing w:before="120"/>
        <w:ind w:left="690" w:hanging="240"/>
        <w:rPr>
          <w:rFonts w:ascii="宋体" w:eastAsia="宋体" w:hAnsi="Times New Roman"/>
          <w:color w:val="000000"/>
        </w:rPr>
      </w:pPr>
      <w:r w:rsidRPr="000A2990">
        <w:rPr>
          <w:rFonts w:ascii="宋体" w:eastAsia="宋体" w:hAnsi="Times New Roman" w:hint="eastAsia"/>
          <w:color w:val="000000"/>
        </w:rPr>
        <w:t>中国专利代理人资格</w:t>
      </w:r>
    </w:p>
    <w:p w14:paraId="15935ECB" w14:textId="77777777" w:rsidR="000A2990" w:rsidRDefault="000A2990" w:rsidP="000A2990">
      <w:pPr>
        <w:pStyle w:val="af5"/>
        <w:numPr>
          <w:ilvl w:val="0"/>
          <w:numId w:val="30"/>
        </w:numPr>
        <w:spacing w:before="120"/>
        <w:ind w:left="690" w:hanging="240"/>
        <w:rPr>
          <w:rFonts w:ascii="宋体" w:eastAsia="宋体" w:hAnsi="Times New Roman"/>
          <w:color w:val="000000"/>
        </w:rPr>
      </w:pPr>
      <w:r w:rsidRPr="000A2990">
        <w:rPr>
          <w:rFonts w:ascii="宋体" w:eastAsia="宋体" w:hAnsi="Times New Roman" w:hint="eastAsia"/>
          <w:color w:val="000000"/>
        </w:rPr>
        <w:t>中华人民共和国执业律师</w:t>
      </w:r>
    </w:p>
    <w:p w14:paraId="49BF7257" w14:textId="77777777" w:rsidR="000A2990" w:rsidRDefault="000A2990" w:rsidP="000A2990">
      <w:pPr>
        <w:pStyle w:val="af5"/>
        <w:numPr>
          <w:ilvl w:val="0"/>
          <w:numId w:val="31"/>
        </w:numPr>
        <w:spacing w:before="120"/>
        <w:ind w:left="690" w:hanging="240"/>
        <w:rPr>
          <w:rFonts w:ascii="宋体" w:eastAsia="宋体" w:hAnsi="Times New Roman"/>
          <w:color w:val="000000"/>
        </w:rPr>
      </w:pPr>
      <w:r w:rsidRPr="000A2990">
        <w:rPr>
          <w:rFonts w:ascii="宋体" w:eastAsia="宋体" w:hAnsi="Times New Roman" w:hint="eastAsia"/>
          <w:color w:val="000000"/>
        </w:rPr>
        <w:t>美国专利商标局代理人资格</w:t>
      </w:r>
    </w:p>
    <w:p w14:paraId="3314DB4F" w14:textId="77777777" w:rsidR="000A2990" w:rsidRDefault="000A2990" w:rsidP="000A2990">
      <w:pPr>
        <w:pStyle w:val="af5"/>
        <w:numPr>
          <w:ilvl w:val="0"/>
          <w:numId w:val="32"/>
        </w:numPr>
        <w:spacing w:before="120"/>
        <w:ind w:left="690" w:hanging="240"/>
        <w:rPr>
          <w:rFonts w:ascii="宋体" w:eastAsia="宋体" w:hAnsi="Times New Roman"/>
          <w:color w:val="000000"/>
        </w:rPr>
      </w:pPr>
      <w:r w:rsidRPr="000A2990">
        <w:rPr>
          <w:rFonts w:ascii="宋体" w:eastAsia="宋体" w:hAnsi="Times New Roman" w:hint="eastAsia"/>
          <w:color w:val="000000"/>
        </w:rPr>
        <w:t>美国纽约州律师资格</w:t>
      </w:r>
    </w:p>
    <w:p w14:paraId="6A030D03" w14:textId="77777777" w:rsidR="000A2990" w:rsidRDefault="000A2990" w:rsidP="000A2990">
      <w:pPr>
        <w:pStyle w:val="af5"/>
        <w:spacing w:after="0" w:line="480" w:lineRule="auto"/>
        <w:rPr>
          <w:rFonts w:ascii="宋体" w:eastAsia="宋体" w:hAnsi="宋体"/>
          <w:b/>
          <w:sz w:val="24"/>
        </w:rPr>
      </w:pPr>
      <w:r w:rsidRPr="000A2990">
        <w:rPr>
          <w:rFonts w:ascii="宋体" w:eastAsia="宋体" w:hAnsi="宋体" w:hint="eastAsia"/>
          <w:b/>
          <w:sz w:val="24"/>
        </w:rPr>
        <w:t>其他信息</w:t>
      </w:r>
    </w:p>
    <w:p w14:paraId="190A4030" w14:textId="77777777" w:rsidR="000A2990" w:rsidRDefault="000A2990" w:rsidP="000A2990">
      <w:pPr>
        <w:pStyle w:val="af5"/>
        <w:spacing w:after="0" w:line="480" w:lineRule="auto"/>
        <w:rPr>
          <w:rFonts w:ascii="宋体" w:eastAsia="宋体" w:hAnsi="宋体"/>
          <w:b/>
          <w:sz w:val="24"/>
        </w:rPr>
      </w:pPr>
      <w:r w:rsidRPr="000A2990">
        <w:rPr>
          <w:rFonts w:ascii="宋体" w:eastAsia="宋体" w:hAnsi="宋体" w:hint="eastAsia"/>
          <w:b/>
          <w:sz w:val="24"/>
        </w:rPr>
        <w:t>出版物</w:t>
      </w:r>
    </w:p>
    <w:p w14:paraId="6A2B6824" w14:textId="77777777" w:rsidR="000A2990" w:rsidRDefault="000A2990" w:rsidP="000A2990">
      <w:pPr>
        <w:pStyle w:val="af5"/>
        <w:numPr>
          <w:ilvl w:val="0"/>
          <w:numId w:val="33"/>
        </w:numPr>
        <w:spacing w:before="120"/>
        <w:ind w:left="690" w:hanging="240"/>
        <w:rPr>
          <w:rFonts w:ascii="宋体" w:eastAsia="宋体" w:hAnsi="Times New Roman"/>
          <w:color w:val="000000"/>
        </w:rPr>
      </w:pPr>
      <w:r w:rsidRPr="000A2990">
        <w:rPr>
          <w:rFonts w:ascii="宋体" w:eastAsia="宋体" w:hAnsi="Times New Roman"/>
          <w:color w:val="000000"/>
        </w:rPr>
        <w:t xml:space="preserve">《商业秘密信息的保护》， China Law &amp; Practice，2021 年9月 </w:t>
      </w:r>
    </w:p>
    <w:p w14:paraId="24FED002" w14:textId="77777777" w:rsidR="000A2990" w:rsidRDefault="000A2990" w:rsidP="000A2990">
      <w:pPr>
        <w:pStyle w:val="af5"/>
        <w:numPr>
          <w:ilvl w:val="0"/>
          <w:numId w:val="34"/>
        </w:numPr>
        <w:spacing w:before="120"/>
        <w:ind w:left="690" w:hanging="240"/>
        <w:rPr>
          <w:rFonts w:ascii="宋体" w:eastAsia="宋体" w:hAnsi="Times New Roman"/>
          <w:color w:val="000000"/>
        </w:rPr>
      </w:pPr>
      <w:r w:rsidRPr="000A2990">
        <w:rPr>
          <w:rFonts w:ascii="宋体" w:eastAsia="宋体" w:hAnsi="Times New Roman"/>
          <w:color w:val="000000"/>
        </w:rPr>
        <w:t xml:space="preserve">《专利法的第四次修改》， China Law &amp; Practice，2020 年11月 </w:t>
      </w:r>
    </w:p>
    <w:p w14:paraId="5F7963D4" w14:textId="77777777" w:rsidR="000A2990" w:rsidRDefault="000A2990" w:rsidP="000A2990">
      <w:pPr>
        <w:pStyle w:val="af5"/>
        <w:numPr>
          <w:ilvl w:val="0"/>
          <w:numId w:val="35"/>
        </w:numPr>
        <w:spacing w:before="120"/>
        <w:ind w:left="690" w:hanging="240"/>
        <w:rPr>
          <w:rFonts w:ascii="宋体" w:eastAsia="宋体" w:hAnsi="Times New Roman"/>
          <w:color w:val="000000"/>
        </w:rPr>
      </w:pPr>
      <w:r w:rsidRPr="000A2990">
        <w:rPr>
          <w:rFonts w:ascii="宋体" w:eastAsia="宋体" w:hAnsi="Times New Roman"/>
          <w:color w:val="000000"/>
        </w:rPr>
        <w:t xml:space="preserve">《新冠疫情下合同履行的相关问题》， China Law &amp; Practice，2020年2月 </w:t>
      </w:r>
    </w:p>
    <w:p w14:paraId="5D22CAEA" w14:textId="77777777" w:rsidR="000A2990" w:rsidRDefault="000A2990" w:rsidP="000A2990">
      <w:pPr>
        <w:pStyle w:val="af5"/>
        <w:numPr>
          <w:ilvl w:val="0"/>
          <w:numId w:val="36"/>
        </w:numPr>
        <w:spacing w:before="120"/>
        <w:ind w:left="690" w:hanging="240"/>
        <w:rPr>
          <w:rFonts w:ascii="宋体" w:eastAsia="宋体" w:hAnsi="Times New Roman"/>
          <w:color w:val="000000"/>
        </w:rPr>
      </w:pPr>
      <w:r w:rsidRPr="000A2990">
        <w:rPr>
          <w:rFonts w:ascii="宋体" w:eastAsia="宋体" w:hAnsi="Times New Roman"/>
          <w:color w:val="000000"/>
        </w:rPr>
        <w:t xml:space="preserve">《知识产权立法和司法变化的年度总结》， China Law &amp; Practice，2020年2月 </w:t>
      </w:r>
    </w:p>
    <w:p w14:paraId="552858F9" w14:textId="77777777" w:rsidR="000A2990" w:rsidRDefault="000A2990" w:rsidP="000A2990">
      <w:pPr>
        <w:pStyle w:val="af5"/>
        <w:numPr>
          <w:ilvl w:val="0"/>
          <w:numId w:val="37"/>
        </w:numPr>
        <w:spacing w:before="120"/>
        <w:ind w:left="690" w:hanging="240"/>
        <w:rPr>
          <w:rFonts w:ascii="宋体" w:eastAsia="宋体" w:hAnsi="Times New Roman"/>
          <w:color w:val="000000"/>
        </w:rPr>
      </w:pPr>
      <w:r w:rsidRPr="000A2990">
        <w:rPr>
          <w:rFonts w:ascii="宋体" w:eastAsia="宋体" w:hAnsi="Times New Roman"/>
          <w:color w:val="000000"/>
        </w:rPr>
        <w:t xml:space="preserve">《最高法院2018年知识产权年度报告的总结》， China Law &amp; Practice，2019年第3季度 </w:t>
      </w:r>
    </w:p>
    <w:p w14:paraId="18BCB911" w14:textId="77777777" w:rsidR="000A2990" w:rsidRDefault="000A2990" w:rsidP="000A2990">
      <w:pPr>
        <w:pStyle w:val="af5"/>
        <w:numPr>
          <w:ilvl w:val="0"/>
          <w:numId w:val="38"/>
        </w:numPr>
        <w:spacing w:before="120"/>
        <w:ind w:left="690" w:hanging="240"/>
        <w:rPr>
          <w:rFonts w:ascii="宋体" w:eastAsia="宋体" w:hAnsi="Times New Roman"/>
          <w:color w:val="000000"/>
        </w:rPr>
      </w:pPr>
      <w:r w:rsidRPr="000A2990">
        <w:rPr>
          <w:rFonts w:ascii="宋体" w:eastAsia="宋体" w:hAnsi="Times New Roman"/>
          <w:color w:val="000000"/>
        </w:rPr>
        <w:t xml:space="preserve">《最高法院2017年知识产权年度报告的总结》， China Law &amp; Practice，2018年第3季度 </w:t>
      </w:r>
    </w:p>
    <w:p w14:paraId="6A31BBCA" w14:textId="77777777" w:rsidR="000A2990" w:rsidRDefault="000A2990" w:rsidP="000A2990">
      <w:pPr>
        <w:pStyle w:val="af5"/>
        <w:numPr>
          <w:ilvl w:val="0"/>
          <w:numId w:val="39"/>
        </w:numPr>
        <w:spacing w:before="120"/>
        <w:ind w:left="690" w:hanging="240"/>
        <w:rPr>
          <w:rFonts w:ascii="宋体" w:eastAsia="宋体" w:hAnsi="Times New Roman"/>
          <w:color w:val="000000"/>
        </w:rPr>
      </w:pPr>
      <w:r w:rsidRPr="000A2990">
        <w:rPr>
          <w:rFonts w:ascii="宋体" w:eastAsia="宋体" w:hAnsi="Times New Roman"/>
          <w:color w:val="000000"/>
        </w:rPr>
        <w:t xml:space="preserve">《外国合作方如何获得知识产权的转让》， China Law &amp; Practice，2018年第2季度 </w:t>
      </w:r>
    </w:p>
    <w:p w14:paraId="12EDB71C" w14:textId="77777777" w:rsidR="000A2990" w:rsidRDefault="000A2990" w:rsidP="000A2990">
      <w:pPr>
        <w:pStyle w:val="af5"/>
        <w:numPr>
          <w:ilvl w:val="0"/>
          <w:numId w:val="40"/>
        </w:numPr>
        <w:spacing w:before="120"/>
        <w:ind w:left="690" w:hanging="240"/>
        <w:rPr>
          <w:rFonts w:ascii="宋体" w:eastAsia="宋体" w:hAnsi="Times New Roman"/>
          <w:color w:val="000000"/>
        </w:rPr>
      </w:pPr>
      <w:r w:rsidRPr="000A2990">
        <w:rPr>
          <w:rFonts w:ascii="宋体" w:eastAsia="宋体" w:hAnsi="Times New Roman"/>
          <w:color w:val="000000"/>
        </w:rPr>
        <w:t>《反垄断诉讼指南</w:t>
      </w:r>
      <w:r w:rsidRPr="000A2990">
        <w:rPr>
          <w:rFonts w:ascii="宋体" w:eastAsia="宋体" w:hAnsi="Times New Roman"/>
          <w:color w:val="000000"/>
        </w:rPr>
        <w:t>——</w:t>
      </w:r>
      <w:r w:rsidRPr="000A2990">
        <w:rPr>
          <w:rFonts w:ascii="宋体" w:eastAsia="宋体" w:hAnsi="Times New Roman"/>
          <w:color w:val="000000"/>
        </w:rPr>
        <w:t>中国》， Practical</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 xml:space="preserve">Law，2017年12月 </w:t>
      </w:r>
    </w:p>
    <w:p w14:paraId="66BB60B7" w14:textId="77777777" w:rsidR="000A2990" w:rsidRDefault="000A2990" w:rsidP="000A2990">
      <w:pPr>
        <w:pStyle w:val="af5"/>
        <w:numPr>
          <w:ilvl w:val="0"/>
          <w:numId w:val="41"/>
        </w:numPr>
        <w:spacing w:before="120"/>
        <w:ind w:left="690" w:hanging="240"/>
        <w:rPr>
          <w:rFonts w:ascii="宋体" w:eastAsia="宋体" w:hAnsi="Times New Roman"/>
          <w:color w:val="000000"/>
        </w:rPr>
      </w:pPr>
      <w:r w:rsidRPr="000A2990">
        <w:rPr>
          <w:rFonts w:ascii="宋体" w:eastAsia="宋体" w:hAnsi="Times New Roman"/>
          <w:color w:val="000000"/>
        </w:rPr>
        <w:t xml:space="preserve">《平行进口和中国知识产权法》， Practical Law China， 2017年6月 </w:t>
      </w:r>
    </w:p>
    <w:p w14:paraId="3FB426E8" w14:textId="77777777" w:rsidR="000A2990" w:rsidRDefault="000A2990" w:rsidP="000A2990">
      <w:pPr>
        <w:pStyle w:val="af5"/>
        <w:numPr>
          <w:ilvl w:val="0"/>
          <w:numId w:val="42"/>
        </w:numPr>
        <w:spacing w:before="120"/>
        <w:ind w:left="690" w:hanging="240"/>
        <w:rPr>
          <w:rFonts w:ascii="宋体" w:eastAsia="宋体" w:hAnsi="Times New Roman"/>
          <w:color w:val="000000"/>
        </w:rPr>
      </w:pPr>
      <w:r w:rsidRPr="000A2990">
        <w:rPr>
          <w:rFonts w:ascii="宋体" w:eastAsia="宋体" w:hAnsi="Times New Roman"/>
          <w:color w:val="000000"/>
        </w:rPr>
        <w:t xml:space="preserve">《最高法院加强商标保护，抑制恶意注册》， China Law &amp; Practice，2017年第2季度 </w:t>
      </w:r>
    </w:p>
    <w:p w14:paraId="7311ACA2" w14:textId="77777777" w:rsidR="000A2990" w:rsidRDefault="000A2990" w:rsidP="000A2990">
      <w:pPr>
        <w:pStyle w:val="af5"/>
        <w:numPr>
          <w:ilvl w:val="0"/>
          <w:numId w:val="43"/>
        </w:numPr>
        <w:spacing w:before="120"/>
        <w:ind w:left="690" w:hanging="240"/>
        <w:rPr>
          <w:rFonts w:ascii="宋体" w:eastAsia="宋体" w:hAnsi="Times New Roman"/>
          <w:color w:val="000000"/>
        </w:rPr>
      </w:pPr>
      <w:r w:rsidRPr="000A2990">
        <w:rPr>
          <w:rFonts w:ascii="宋体" w:eastAsia="宋体" w:hAnsi="Times New Roman"/>
          <w:color w:val="000000"/>
        </w:rPr>
        <w:t>《反垄断诉讼的法律基础》，Practical</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 xml:space="preserve"> Law，2016年 </w:t>
      </w:r>
    </w:p>
    <w:p w14:paraId="4D62CAC9" w14:textId="77777777" w:rsidR="000A2990" w:rsidRDefault="000A2990" w:rsidP="000A2990">
      <w:pPr>
        <w:pStyle w:val="af5"/>
        <w:numPr>
          <w:ilvl w:val="0"/>
          <w:numId w:val="44"/>
        </w:numPr>
        <w:spacing w:before="120"/>
        <w:ind w:left="690" w:hanging="240"/>
        <w:rPr>
          <w:rFonts w:ascii="宋体" w:eastAsia="宋体" w:hAnsi="Times New Roman"/>
          <w:color w:val="000000"/>
        </w:rPr>
      </w:pPr>
      <w:r w:rsidRPr="000A2990">
        <w:rPr>
          <w:rFonts w:ascii="宋体" w:eastAsia="宋体" w:hAnsi="Times New Roman"/>
          <w:color w:val="000000"/>
        </w:rPr>
        <w:t xml:space="preserve">《法院对商业秘密案件的审理》， China Law &amp; Practice，2016年 1月 </w:t>
      </w:r>
    </w:p>
    <w:p w14:paraId="0ED3F093" w14:textId="77777777" w:rsidR="000A2990" w:rsidRDefault="000A2990" w:rsidP="000A2990">
      <w:pPr>
        <w:pStyle w:val="af5"/>
        <w:numPr>
          <w:ilvl w:val="0"/>
          <w:numId w:val="45"/>
        </w:numPr>
        <w:spacing w:before="120"/>
        <w:ind w:left="690" w:hanging="240"/>
        <w:rPr>
          <w:rFonts w:ascii="宋体" w:eastAsia="宋体" w:hAnsi="Times New Roman"/>
          <w:color w:val="000000"/>
        </w:rPr>
      </w:pPr>
      <w:r w:rsidRPr="000A2990">
        <w:rPr>
          <w:rFonts w:ascii="宋体" w:eastAsia="宋体" w:hAnsi="Times New Roman"/>
          <w:color w:val="000000"/>
        </w:rPr>
        <w:t>《中国：反垄断诉讼》， Asia-Pacific</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Antitrust</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 xml:space="preserve">Review，2015 </w:t>
      </w:r>
    </w:p>
    <w:p w14:paraId="2ABA86AE" w14:textId="77777777" w:rsidR="000A2990" w:rsidRDefault="000A2990" w:rsidP="000A2990">
      <w:pPr>
        <w:pStyle w:val="af5"/>
        <w:numPr>
          <w:ilvl w:val="0"/>
          <w:numId w:val="46"/>
        </w:numPr>
        <w:spacing w:before="120"/>
        <w:ind w:left="690" w:hanging="240"/>
        <w:rPr>
          <w:rFonts w:ascii="宋体" w:eastAsia="宋体" w:hAnsi="Times New Roman"/>
          <w:color w:val="000000"/>
        </w:rPr>
      </w:pPr>
      <w:r w:rsidRPr="000A2990">
        <w:rPr>
          <w:rFonts w:ascii="宋体" w:eastAsia="宋体" w:hAnsi="Times New Roman"/>
          <w:color w:val="000000"/>
        </w:rPr>
        <w:t xml:space="preserve">《华为诉中兴案的启示》，China Law &amp; Practice，2015年8月 </w:t>
      </w:r>
    </w:p>
    <w:p w14:paraId="75156FD4" w14:textId="77777777" w:rsidR="000A2990" w:rsidRDefault="000A2990" w:rsidP="000A2990">
      <w:pPr>
        <w:pStyle w:val="af5"/>
        <w:numPr>
          <w:ilvl w:val="0"/>
          <w:numId w:val="47"/>
        </w:numPr>
        <w:spacing w:before="120"/>
        <w:ind w:left="690" w:hanging="240"/>
        <w:rPr>
          <w:rFonts w:ascii="宋体" w:eastAsia="宋体" w:hAnsi="Times New Roman"/>
          <w:color w:val="000000"/>
        </w:rPr>
      </w:pPr>
      <w:r w:rsidRPr="000A2990">
        <w:rPr>
          <w:rFonts w:ascii="宋体" w:eastAsia="宋体" w:hAnsi="Times New Roman"/>
          <w:color w:val="000000"/>
        </w:rPr>
        <w:t xml:space="preserve">《微信案对司法走向的启示》，China Law &amp; Practice，2015年5月 </w:t>
      </w:r>
    </w:p>
    <w:p w14:paraId="01E9969F" w14:textId="77777777" w:rsidR="000A2990" w:rsidRDefault="000A2990" w:rsidP="000A2990">
      <w:pPr>
        <w:pStyle w:val="af5"/>
        <w:numPr>
          <w:ilvl w:val="0"/>
          <w:numId w:val="48"/>
        </w:numPr>
        <w:spacing w:before="120"/>
        <w:ind w:left="690" w:hanging="240"/>
        <w:rPr>
          <w:rFonts w:ascii="宋体" w:eastAsia="宋体" w:hAnsi="Times New Roman"/>
          <w:color w:val="000000"/>
        </w:rPr>
      </w:pPr>
      <w:r w:rsidRPr="000A2990">
        <w:rPr>
          <w:rFonts w:ascii="宋体" w:eastAsia="宋体" w:hAnsi="Times New Roman"/>
          <w:color w:val="000000"/>
        </w:rPr>
        <w:t>《中国：反垄断诉讼》，Asia-Pacific</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 xml:space="preserve"> Antitrust</w:t>
      </w:r>
      <w:r w:rsidRPr="000A2990">
        <w:rPr>
          <w:rFonts w:ascii="宋体" w:eastAsia="宋体" w:hAnsi="Times New Roman"/>
          <w:color w:val="000000"/>
        </w:rPr>
        <w:t> </w:t>
      </w:r>
      <w:r w:rsidRPr="000A2990">
        <w:rPr>
          <w:rFonts w:ascii="宋体" w:eastAsia="宋体" w:hAnsi="Times New Roman"/>
          <w:color w:val="000000"/>
        </w:rPr>
        <w:t xml:space="preserve"> </w:t>
      </w:r>
      <w:r w:rsidRPr="000A2990">
        <w:rPr>
          <w:rFonts w:ascii="宋体" w:eastAsia="宋体" w:hAnsi="Times New Roman"/>
          <w:color w:val="000000"/>
        </w:rPr>
        <w:t> </w:t>
      </w:r>
      <w:r w:rsidRPr="000A2990">
        <w:rPr>
          <w:rFonts w:ascii="宋体" w:eastAsia="宋体" w:hAnsi="Times New Roman"/>
          <w:color w:val="000000"/>
        </w:rPr>
        <w:t xml:space="preserve">Review，2014 </w:t>
      </w:r>
    </w:p>
    <w:p w14:paraId="469DFC59" w14:textId="77777777" w:rsidR="000A2990" w:rsidRDefault="000A2990" w:rsidP="000A2990">
      <w:pPr>
        <w:pStyle w:val="af5"/>
        <w:numPr>
          <w:ilvl w:val="0"/>
          <w:numId w:val="49"/>
        </w:numPr>
        <w:spacing w:before="120"/>
        <w:ind w:left="690" w:hanging="240"/>
        <w:rPr>
          <w:rFonts w:ascii="宋体" w:eastAsia="宋体" w:hAnsi="Times New Roman"/>
          <w:color w:val="000000"/>
        </w:rPr>
      </w:pPr>
      <w:r w:rsidRPr="000A2990">
        <w:rPr>
          <w:rFonts w:ascii="宋体" w:eastAsia="宋体" w:hAnsi="Times New Roman"/>
          <w:color w:val="000000"/>
        </w:rPr>
        <w:t xml:space="preserve">《司法改革之痛》，China Law &amp; Practice，2014年9月 </w:t>
      </w:r>
    </w:p>
    <w:p w14:paraId="786AECEA" w14:textId="77777777" w:rsidR="000A2990" w:rsidRDefault="000A2990" w:rsidP="000A2990">
      <w:pPr>
        <w:pStyle w:val="af5"/>
        <w:numPr>
          <w:ilvl w:val="0"/>
          <w:numId w:val="50"/>
        </w:numPr>
        <w:spacing w:before="120"/>
        <w:ind w:left="690" w:hanging="240"/>
        <w:rPr>
          <w:rFonts w:ascii="宋体" w:eastAsia="宋体" w:hAnsi="Times New Roman"/>
          <w:color w:val="000000"/>
        </w:rPr>
      </w:pPr>
      <w:r w:rsidRPr="000A2990">
        <w:rPr>
          <w:rFonts w:ascii="宋体" w:eastAsia="宋体" w:hAnsi="Times New Roman"/>
          <w:color w:val="000000"/>
        </w:rPr>
        <w:t xml:space="preserve">《中国法院在反垄断诉讼中对经济证据的考量》，Competition Policy International，2014年2月 </w:t>
      </w:r>
    </w:p>
    <w:p w14:paraId="510C4599" w14:textId="77777777" w:rsidR="000A2990" w:rsidRDefault="000A2990" w:rsidP="000A2990">
      <w:pPr>
        <w:pStyle w:val="af5"/>
        <w:numPr>
          <w:ilvl w:val="0"/>
          <w:numId w:val="51"/>
        </w:numPr>
        <w:spacing w:before="120"/>
        <w:ind w:left="690" w:hanging="240"/>
        <w:rPr>
          <w:rFonts w:ascii="宋体" w:eastAsia="宋体" w:hAnsi="Times New Roman"/>
          <w:color w:val="000000"/>
        </w:rPr>
      </w:pPr>
      <w:r w:rsidRPr="000A2990">
        <w:rPr>
          <w:rFonts w:ascii="宋体" w:eastAsia="宋体" w:hAnsi="Times New Roman"/>
          <w:color w:val="000000"/>
        </w:rPr>
        <w:t xml:space="preserve">《法院严格控制转售价格》，China Law &amp; Practice，2013年9月 </w:t>
      </w:r>
    </w:p>
    <w:p w14:paraId="73B699A3" w14:textId="77777777" w:rsidR="000A2990" w:rsidRDefault="000A2990" w:rsidP="000A2990">
      <w:pPr>
        <w:pStyle w:val="af5"/>
        <w:numPr>
          <w:ilvl w:val="0"/>
          <w:numId w:val="52"/>
        </w:numPr>
        <w:spacing w:before="120"/>
        <w:ind w:left="690" w:hanging="240"/>
        <w:rPr>
          <w:rFonts w:ascii="宋体" w:eastAsia="宋体" w:hAnsi="Times New Roman"/>
          <w:color w:val="000000"/>
        </w:rPr>
      </w:pPr>
      <w:r w:rsidRPr="000A2990">
        <w:rPr>
          <w:rFonts w:ascii="宋体" w:eastAsia="宋体" w:hAnsi="Times New Roman"/>
          <w:color w:val="000000"/>
        </w:rPr>
        <w:t xml:space="preserve">《没有定义的相关市场》，China Law &amp; Practice，2013年7月 </w:t>
      </w:r>
    </w:p>
    <w:p w14:paraId="05A37F38" w14:textId="77777777" w:rsidR="000A2990" w:rsidRDefault="000A2990" w:rsidP="000A2990">
      <w:pPr>
        <w:pStyle w:val="af5"/>
        <w:numPr>
          <w:ilvl w:val="0"/>
          <w:numId w:val="53"/>
        </w:numPr>
        <w:spacing w:before="120"/>
        <w:ind w:left="690" w:hanging="240"/>
        <w:rPr>
          <w:rFonts w:ascii="宋体" w:eastAsia="宋体" w:hAnsi="Times New Roman"/>
          <w:color w:val="000000"/>
        </w:rPr>
      </w:pPr>
      <w:r w:rsidRPr="000A2990">
        <w:rPr>
          <w:rFonts w:ascii="宋体" w:eastAsia="宋体" w:hAnsi="Times New Roman"/>
          <w:color w:val="000000"/>
        </w:rPr>
        <w:t xml:space="preserve">《控制损害赔偿》，China Law &amp; Practice，2013年3月 </w:t>
      </w:r>
    </w:p>
    <w:p w14:paraId="6B308BFB" w14:textId="77777777" w:rsidR="000A2990" w:rsidRDefault="000A2990" w:rsidP="000A2990">
      <w:pPr>
        <w:pStyle w:val="af5"/>
        <w:numPr>
          <w:ilvl w:val="0"/>
          <w:numId w:val="54"/>
        </w:numPr>
        <w:spacing w:before="120"/>
        <w:ind w:left="690" w:hanging="240"/>
        <w:rPr>
          <w:rFonts w:ascii="宋体" w:eastAsia="宋体" w:hAnsi="Times New Roman"/>
          <w:color w:val="000000"/>
        </w:rPr>
      </w:pPr>
      <w:r w:rsidRPr="000A2990">
        <w:rPr>
          <w:rFonts w:ascii="宋体" w:eastAsia="宋体" w:hAnsi="Times New Roman"/>
          <w:color w:val="000000"/>
        </w:rPr>
        <w:t xml:space="preserve">《微软诉摩托罗拉：标准基础专利的许可》，科技创新与知识产权，2013年第2期 </w:t>
      </w:r>
    </w:p>
    <w:p w14:paraId="6F5A9323" w14:textId="77777777" w:rsidR="000A2990" w:rsidRDefault="000A2990" w:rsidP="000A2990">
      <w:pPr>
        <w:pStyle w:val="af5"/>
        <w:numPr>
          <w:ilvl w:val="0"/>
          <w:numId w:val="55"/>
        </w:numPr>
        <w:spacing w:before="120"/>
        <w:ind w:left="690" w:hanging="240"/>
        <w:rPr>
          <w:rFonts w:ascii="宋体" w:eastAsia="宋体" w:hAnsi="Times New Roman"/>
          <w:color w:val="000000"/>
        </w:rPr>
      </w:pPr>
      <w:r w:rsidRPr="000A2990">
        <w:rPr>
          <w:rFonts w:ascii="宋体" w:eastAsia="宋体" w:hAnsi="Times New Roman"/>
          <w:color w:val="000000"/>
        </w:rPr>
        <w:t xml:space="preserve">《专利诉讼中的现有技术抗辩：一个法律的困境？》，China Law &amp; Practice，2012年1月 </w:t>
      </w:r>
    </w:p>
    <w:p w14:paraId="1901159C" w14:textId="77777777" w:rsidR="000A2990" w:rsidRDefault="000A2990" w:rsidP="000A2990">
      <w:pPr>
        <w:pStyle w:val="af5"/>
        <w:numPr>
          <w:ilvl w:val="0"/>
          <w:numId w:val="56"/>
        </w:numPr>
        <w:spacing w:before="120"/>
        <w:ind w:left="690" w:hanging="240"/>
        <w:rPr>
          <w:rFonts w:ascii="宋体" w:eastAsia="宋体" w:hAnsi="Times New Roman"/>
          <w:color w:val="000000"/>
        </w:rPr>
      </w:pPr>
      <w:r w:rsidRPr="000A2990">
        <w:rPr>
          <w:rFonts w:ascii="宋体" w:eastAsia="宋体" w:hAnsi="Times New Roman"/>
          <w:color w:val="000000"/>
        </w:rPr>
        <w:t xml:space="preserve">《网页搜索战：人人诉百度》，China Law &amp; Practice，2011年11月 </w:t>
      </w:r>
    </w:p>
    <w:p w14:paraId="294DBA45" w14:textId="77777777" w:rsidR="000A2990" w:rsidRDefault="000A2990" w:rsidP="000A2990">
      <w:pPr>
        <w:pStyle w:val="af5"/>
        <w:numPr>
          <w:ilvl w:val="0"/>
          <w:numId w:val="57"/>
        </w:numPr>
        <w:spacing w:before="120"/>
        <w:ind w:left="690" w:hanging="240"/>
        <w:rPr>
          <w:rFonts w:ascii="宋体" w:eastAsia="宋体" w:hAnsi="Times New Roman"/>
          <w:color w:val="000000"/>
        </w:rPr>
      </w:pPr>
      <w:r w:rsidRPr="000A2990">
        <w:rPr>
          <w:rFonts w:ascii="宋体" w:eastAsia="宋体" w:hAnsi="Times New Roman"/>
          <w:color w:val="000000"/>
        </w:rPr>
        <w:t xml:space="preserve">《搜索卖方》，China Law &amp; Practice，2011年7月 </w:t>
      </w:r>
    </w:p>
    <w:p w14:paraId="4F0A196B" w14:textId="761E5D9A" w:rsidR="00A46A04" w:rsidRPr="000A2990" w:rsidRDefault="000A2990" w:rsidP="000A2990">
      <w:pPr>
        <w:pStyle w:val="af5"/>
        <w:numPr>
          <w:ilvl w:val="0"/>
          <w:numId w:val="58"/>
        </w:numPr>
        <w:spacing w:before="120"/>
        <w:ind w:left="690" w:hanging="240"/>
        <w:rPr>
          <w:rFonts w:ascii="宋体" w:eastAsia="宋体" w:hAnsi="Times New Roman"/>
          <w:color w:val="000000"/>
        </w:rPr>
      </w:pPr>
      <w:r w:rsidRPr="000A2990">
        <w:rPr>
          <w:rFonts w:ascii="宋体" w:eastAsia="宋体" w:hAnsi="Times New Roman"/>
          <w:color w:val="000000"/>
        </w:rPr>
        <w:t xml:space="preserve">《艰难的选择》，China Law &amp; Practice，2011年2月 </w:t>
      </w:r>
    </w:p>
    <w:sectPr w:rsidR="00A46A04" w:rsidRPr="000A29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D6B"/>
    <w:multiLevelType w:val="singleLevel"/>
    <w:tmpl w:val="302A03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F6185"/>
    <w:multiLevelType w:val="singleLevel"/>
    <w:tmpl w:val="86B430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4649F"/>
    <w:multiLevelType w:val="singleLevel"/>
    <w:tmpl w:val="C82254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B496A"/>
    <w:multiLevelType w:val="singleLevel"/>
    <w:tmpl w:val="CAE2F6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4E3556"/>
    <w:multiLevelType w:val="singleLevel"/>
    <w:tmpl w:val="3216BC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E368E"/>
    <w:multiLevelType w:val="singleLevel"/>
    <w:tmpl w:val="8FCE76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EF740E"/>
    <w:multiLevelType w:val="singleLevel"/>
    <w:tmpl w:val="883AAD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49059A"/>
    <w:multiLevelType w:val="singleLevel"/>
    <w:tmpl w:val="683C587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63E13"/>
    <w:multiLevelType w:val="singleLevel"/>
    <w:tmpl w:val="029C78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670206"/>
    <w:multiLevelType w:val="singleLevel"/>
    <w:tmpl w:val="CB8063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A1495B"/>
    <w:multiLevelType w:val="singleLevel"/>
    <w:tmpl w:val="7DB05B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E1792E"/>
    <w:multiLevelType w:val="singleLevel"/>
    <w:tmpl w:val="065C50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945C5B"/>
    <w:multiLevelType w:val="singleLevel"/>
    <w:tmpl w:val="41B2AC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DE5ABB"/>
    <w:multiLevelType w:val="singleLevel"/>
    <w:tmpl w:val="FDBEF0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CA0331"/>
    <w:multiLevelType w:val="singleLevel"/>
    <w:tmpl w:val="302C50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41604E"/>
    <w:multiLevelType w:val="singleLevel"/>
    <w:tmpl w:val="CB3086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431731"/>
    <w:multiLevelType w:val="singleLevel"/>
    <w:tmpl w:val="5DC23E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2B5B0A"/>
    <w:multiLevelType w:val="singleLevel"/>
    <w:tmpl w:val="9EB8A9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B536B3"/>
    <w:multiLevelType w:val="singleLevel"/>
    <w:tmpl w:val="3EA216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D72CDE"/>
    <w:multiLevelType w:val="singleLevel"/>
    <w:tmpl w:val="09C074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2D1613"/>
    <w:multiLevelType w:val="singleLevel"/>
    <w:tmpl w:val="C6BEFE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30129E"/>
    <w:multiLevelType w:val="singleLevel"/>
    <w:tmpl w:val="27680B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EC0021"/>
    <w:multiLevelType w:val="singleLevel"/>
    <w:tmpl w:val="C8B455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32092A"/>
    <w:multiLevelType w:val="singleLevel"/>
    <w:tmpl w:val="EDEC1C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D35EB6"/>
    <w:multiLevelType w:val="singleLevel"/>
    <w:tmpl w:val="7BFE24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19384B"/>
    <w:multiLevelType w:val="singleLevel"/>
    <w:tmpl w:val="709EE3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5830A9"/>
    <w:multiLevelType w:val="singleLevel"/>
    <w:tmpl w:val="1E4ED6D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7A0B82"/>
    <w:multiLevelType w:val="singleLevel"/>
    <w:tmpl w:val="BCF23F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BF4B8D"/>
    <w:multiLevelType w:val="singleLevel"/>
    <w:tmpl w:val="BC7A39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324052"/>
    <w:multiLevelType w:val="singleLevel"/>
    <w:tmpl w:val="C792C6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030CF5"/>
    <w:multiLevelType w:val="singleLevel"/>
    <w:tmpl w:val="9D3206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B85B9C"/>
    <w:multiLevelType w:val="singleLevel"/>
    <w:tmpl w:val="10AE20A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FF37F5"/>
    <w:multiLevelType w:val="singleLevel"/>
    <w:tmpl w:val="1D1AEA8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611A12"/>
    <w:multiLevelType w:val="singleLevel"/>
    <w:tmpl w:val="A4A4D5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A96947"/>
    <w:multiLevelType w:val="singleLevel"/>
    <w:tmpl w:val="289C4D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2B1576"/>
    <w:multiLevelType w:val="singleLevel"/>
    <w:tmpl w:val="5A04E5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3151A5"/>
    <w:multiLevelType w:val="singleLevel"/>
    <w:tmpl w:val="D41CCB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873D07"/>
    <w:multiLevelType w:val="singleLevel"/>
    <w:tmpl w:val="23EC90F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2B2238"/>
    <w:multiLevelType w:val="singleLevel"/>
    <w:tmpl w:val="412CCA1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2C34BE"/>
    <w:multiLevelType w:val="singleLevel"/>
    <w:tmpl w:val="D2EC30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F00F91"/>
    <w:multiLevelType w:val="singleLevel"/>
    <w:tmpl w:val="3E0A8C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B636E4"/>
    <w:multiLevelType w:val="singleLevel"/>
    <w:tmpl w:val="4838FE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D3428F"/>
    <w:multiLevelType w:val="singleLevel"/>
    <w:tmpl w:val="291696F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EF6C61"/>
    <w:multiLevelType w:val="singleLevel"/>
    <w:tmpl w:val="0BF2BA3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117D1E"/>
    <w:multiLevelType w:val="singleLevel"/>
    <w:tmpl w:val="6B22887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185E24"/>
    <w:multiLevelType w:val="singleLevel"/>
    <w:tmpl w:val="A19A290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9401410"/>
    <w:multiLevelType w:val="singleLevel"/>
    <w:tmpl w:val="959283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6C3440"/>
    <w:multiLevelType w:val="singleLevel"/>
    <w:tmpl w:val="359603B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7168CD"/>
    <w:multiLevelType w:val="singleLevel"/>
    <w:tmpl w:val="7DC2075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C50196"/>
    <w:multiLevelType w:val="singleLevel"/>
    <w:tmpl w:val="BFE414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F87642"/>
    <w:multiLevelType w:val="singleLevel"/>
    <w:tmpl w:val="8C9CE8C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29E79C1"/>
    <w:multiLevelType w:val="singleLevel"/>
    <w:tmpl w:val="F4F4BE8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2EE64FD"/>
    <w:multiLevelType w:val="singleLevel"/>
    <w:tmpl w:val="DA4885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AA4AE8"/>
    <w:multiLevelType w:val="singleLevel"/>
    <w:tmpl w:val="3A02CCC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B31C23"/>
    <w:multiLevelType w:val="singleLevel"/>
    <w:tmpl w:val="0BF2BA3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DD3DFC"/>
    <w:multiLevelType w:val="singleLevel"/>
    <w:tmpl w:val="AC0CF91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9974A5"/>
    <w:multiLevelType w:val="singleLevel"/>
    <w:tmpl w:val="29DC4E8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FEE1DE0"/>
    <w:multiLevelType w:val="singleLevel"/>
    <w:tmpl w:val="6BD2C67C"/>
    <w:lvl w:ilvl="0">
      <w:start w:val="1"/>
      <w:numFmt w:val="bullet"/>
      <w:lvlText w:val=""/>
      <w:lvlJc w:val="left"/>
      <w:pPr>
        <w:tabs>
          <w:tab w:val="num" w:pos="200"/>
        </w:tabs>
        <w:ind w:left="200" w:hanging="200"/>
      </w:pPr>
      <w:rPr>
        <w:rFonts w:ascii="Wingdings" w:hAnsi="Wingdings" w:hint="default"/>
        <w:sz w:val="16"/>
      </w:rPr>
    </w:lvl>
  </w:abstractNum>
  <w:num w:numId="1">
    <w:abstractNumId w:val="25"/>
  </w:num>
  <w:num w:numId="2">
    <w:abstractNumId w:val="0"/>
  </w:num>
  <w:num w:numId="3">
    <w:abstractNumId w:val="1"/>
  </w:num>
  <w:num w:numId="4">
    <w:abstractNumId w:val="4"/>
  </w:num>
  <w:num w:numId="5">
    <w:abstractNumId w:val="21"/>
  </w:num>
  <w:num w:numId="6">
    <w:abstractNumId w:val="46"/>
  </w:num>
  <w:num w:numId="7">
    <w:abstractNumId w:val="20"/>
  </w:num>
  <w:num w:numId="8">
    <w:abstractNumId w:val="42"/>
  </w:num>
  <w:num w:numId="9">
    <w:abstractNumId w:val="13"/>
  </w:num>
  <w:num w:numId="10">
    <w:abstractNumId w:val="5"/>
  </w:num>
  <w:num w:numId="11">
    <w:abstractNumId w:val="33"/>
  </w:num>
  <w:num w:numId="12">
    <w:abstractNumId w:val="11"/>
  </w:num>
  <w:num w:numId="13">
    <w:abstractNumId w:val="53"/>
  </w:num>
  <w:num w:numId="14">
    <w:abstractNumId w:val="55"/>
  </w:num>
  <w:num w:numId="15">
    <w:abstractNumId w:val="52"/>
  </w:num>
  <w:num w:numId="16">
    <w:abstractNumId w:val="24"/>
  </w:num>
  <w:num w:numId="17">
    <w:abstractNumId w:val="50"/>
  </w:num>
  <w:num w:numId="18">
    <w:abstractNumId w:val="44"/>
  </w:num>
  <w:num w:numId="19">
    <w:abstractNumId w:val="35"/>
  </w:num>
  <w:num w:numId="20">
    <w:abstractNumId w:val="3"/>
  </w:num>
  <w:num w:numId="21">
    <w:abstractNumId w:val="19"/>
  </w:num>
  <w:num w:numId="22">
    <w:abstractNumId w:val="30"/>
  </w:num>
  <w:num w:numId="23">
    <w:abstractNumId w:val="18"/>
  </w:num>
  <w:num w:numId="24">
    <w:abstractNumId w:val="29"/>
  </w:num>
  <w:num w:numId="25">
    <w:abstractNumId w:val="57"/>
  </w:num>
  <w:num w:numId="26">
    <w:abstractNumId w:val="12"/>
  </w:num>
  <w:num w:numId="27">
    <w:abstractNumId w:val="6"/>
  </w:num>
  <w:num w:numId="28">
    <w:abstractNumId w:val="36"/>
  </w:num>
  <w:num w:numId="29">
    <w:abstractNumId w:val="41"/>
  </w:num>
  <w:num w:numId="30">
    <w:abstractNumId w:val="10"/>
  </w:num>
  <w:num w:numId="31">
    <w:abstractNumId w:val="47"/>
  </w:num>
  <w:num w:numId="32">
    <w:abstractNumId w:val="49"/>
  </w:num>
  <w:num w:numId="33">
    <w:abstractNumId w:val="37"/>
  </w:num>
  <w:num w:numId="34">
    <w:abstractNumId w:val="17"/>
  </w:num>
  <w:num w:numId="35">
    <w:abstractNumId w:val="22"/>
  </w:num>
  <w:num w:numId="36">
    <w:abstractNumId w:val="9"/>
  </w:num>
  <w:num w:numId="37">
    <w:abstractNumId w:val="2"/>
  </w:num>
  <w:num w:numId="38">
    <w:abstractNumId w:val="27"/>
  </w:num>
  <w:num w:numId="39">
    <w:abstractNumId w:val="23"/>
  </w:num>
  <w:num w:numId="40">
    <w:abstractNumId w:val="56"/>
  </w:num>
  <w:num w:numId="41">
    <w:abstractNumId w:val="28"/>
  </w:num>
  <w:num w:numId="42">
    <w:abstractNumId w:val="7"/>
  </w:num>
  <w:num w:numId="43">
    <w:abstractNumId w:val="48"/>
  </w:num>
  <w:num w:numId="44">
    <w:abstractNumId w:val="8"/>
  </w:num>
  <w:num w:numId="45">
    <w:abstractNumId w:val="16"/>
  </w:num>
  <w:num w:numId="46">
    <w:abstractNumId w:val="39"/>
  </w:num>
  <w:num w:numId="47">
    <w:abstractNumId w:val="26"/>
  </w:num>
  <w:num w:numId="48">
    <w:abstractNumId w:val="38"/>
  </w:num>
  <w:num w:numId="49">
    <w:abstractNumId w:val="51"/>
  </w:num>
  <w:num w:numId="50">
    <w:abstractNumId w:val="40"/>
  </w:num>
  <w:num w:numId="51">
    <w:abstractNumId w:val="14"/>
  </w:num>
  <w:num w:numId="52">
    <w:abstractNumId w:val="32"/>
  </w:num>
  <w:num w:numId="53">
    <w:abstractNumId w:val="31"/>
  </w:num>
  <w:num w:numId="54">
    <w:abstractNumId w:val="34"/>
  </w:num>
  <w:num w:numId="55">
    <w:abstractNumId w:val="45"/>
  </w:num>
  <w:num w:numId="56">
    <w:abstractNumId w:val="15"/>
  </w:num>
  <w:num w:numId="57">
    <w:abstractNumId w:val="43"/>
  </w:num>
  <w:num w:numId="58">
    <w:abstractNumId w:val="5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A2990"/>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2990"/>
    <w:pPr>
      <w:spacing w:after="120"/>
    </w:pPr>
  </w:style>
  <w:style w:type="character" w:customStyle="1" w:styleId="af6">
    <w:name w:val="正文文本 字符"/>
    <w:basedOn w:val="a0"/>
    <w:link w:val="af5"/>
    <w:uiPriority w:val="99"/>
    <w:rsid w:val="000A29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9C373-E50A-454D-8741-30EB510DD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