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677D7E" w:rsidR="0049405C" w:rsidRPr="00187BAA" w:rsidRDefault="000A3E04" w:rsidP="000A3E04">
            <w:pPr>
              <w:spacing w:line="720" w:lineRule="auto"/>
              <w:rPr>
                <w:rFonts w:ascii="宋体" w:eastAsia="宋体" w:hAnsi="宋体"/>
                <w:color w:val="545551"/>
              </w:rPr>
            </w:pPr>
            <w:bookmarkStart w:id="0" w:name="xingming"/>
            <w:bookmarkStart w:id="1" w:name="_GoBack"/>
            <w:bookmarkEnd w:id="1"/>
            <w:r w:rsidRPr="000A3E04">
              <w:rPr>
                <w:rFonts w:ascii="宋体" w:eastAsia="宋体" w:hAnsi="Times New Roman" w:hint="eastAsia"/>
                <w:b/>
                <w:color w:val="000000"/>
                <w:sz w:val="48"/>
              </w:rPr>
              <w:t>李春</w:t>
            </w:r>
            <w:bookmarkEnd w:id="0"/>
          </w:p>
          <w:p w14:paraId="706EB16B" w14:textId="3F45F1D0" w:rsidR="0049405C" w:rsidRPr="00187BAA" w:rsidRDefault="000A3E04" w:rsidP="000A3E04">
            <w:pPr>
              <w:spacing w:line="360" w:lineRule="auto"/>
              <w:rPr>
                <w:rFonts w:ascii="宋体" w:eastAsia="宋体" w:hAnsi="宋体"/>
                <w:b/>
                <w:bCs/>
                <w:color w:val="545551"/>
              </w:rPr>
            </w:pPr>
            <w:bookmarkStart w:id="2" w:name="didian"/>
            <w:r w:rsidRPr="000A3E04">
              <w:rPr>
                <w:rFonts w:ascii="宋体" w:eastAsia="宋体" w:hAnsi="Times New Roman" w:hint="eastAsia"/>
                <w:b/>
                <w:bCs/>
                <w:color w:val="000000"/>
              </w:rPr>
              <w:t>合伙人·上海</w:t>
            </w:r>
            <w:bookmarkEnd w:id="2"/>
          </w:p>
          <w:p w14:paraId="6199424A" w14:textId="795A8463" w:rsidR="0049405C" w:rsidRPr="00187BAA" w:rsidRDefault="000A3E04" w:rsidP="000A3E04">
            <w:pPr>
              <w:spacing w:line="360" w:lineRule="auto"/>
              <w:rPr>
                <w:rFonts w:ascii="宋体" w:eastAsia="宋体" w:hAnsi="宋体"/>
                <w:color w:val="545551"/>
              </w:rPr>
            </w:pPr>
            <w:bookmarkStart w:id="3" w:name="dianhua"/>
            <w:r w:rsidRPr="000A3E04">
              <w:rPr>
                <w:rFonts w:ascii="宋体" w:eastAsia="宋体" w:hAnsi="Times New Roman"/>
                <w:color w:val="000000"/>
              </w:rPr>
              <w:t xml:space="preserve">+86 21 2208 1020 </w:t>
            </w:r>
            <w:bookmarkEnd w:id="3"/>
          </w:p>
          <w:p w14:paraId="4F910ACA" w14:textId="2095C347" w:rsidR="0049405C" w:rsidRPr="00187BAA" w:rsidRDefault="000A3E04" w:rsidP="000A3E04">
            <w:pPr>
              <w:spacing w:line="360" w:lineRule="auto"/>
              <w:rPr>
                <w:rFonts w:ascii="宋体" w:eastAsia="宋体" w:hAnsi="宋体"/>
                <w:color w:val="000000"/>
              </w:rPr>
            </w:pPr>
            <w:bookmarkStart w:id="4" w:name="youxiang"/>
            <w:r w:rsidRPr="000A3E04">
              <w:rPr>
                <w:rFonts w:ascii="宋体" w:eastAsia="宋体" w:hAnsi="Times New Roman"/>
                <w:color w:val="000000"/>
              </w:rPr>
              <w:t>jason.li@fangdalaw.com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565DAD" w:rsidR="0049405C" w:rsidRPr="00187BAA" w:rsidRDefault="000A3E0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3549310" wp14:editId="316E05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C713144" w:rsidR="009465FB" w:rsidRPr="00187BAA" w:rsidRDefault="000A3E04" w:rsidP="007177F3">
            <w:pPr>
              <w:rPr>
                <w:rFonts w:ascii="宋体" w:eastAsia="宋体" w:hAnsi="宋体"/>
                <w:color w:val="000000"/>
                <w:szCs w:val="21"/>
              </w:rPr>
            </w:pPr>
            <w:bookmarkStart w:id="6" w:name="zhiyelingyu"/>
            <w:r w:rsidRPr="000A3E04">
              <w:rPr>
                <w:rFonts w:ascii="宋体" w:eastAsia="宋体" w:hAnsi="Times New Roman" w:hint="eastAsia"/>
                <w:color w:val="000000"/>
                <w:szCs w:val="21"/>
              </w:rPr>
              <w:t>李春律师的执业领域是公司法、合同法以及金融法领域的争议和破产法律事务。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9C434B" w14:textId="77777777" w:rsidR="000A3E0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0B17A6" w14:textId="77777777" w:rsidR="000A3E04" w:rsidRDefault="000A3E04" w:rsidP="000A3E04">
      <w:pPr>
        <w:pStyle w:val="af5"/>
        <w:spacing w:before="120"/>
        <w:rPr>
          <w:rFonts w:ascii="宋体" w:eastAsia="宋体" w:hAnsi="Times New Roman"/>
          <w:color w:val="000000"/>
        </w:rPr>
      </w:pPr>
      <w:r w:rsidRPr="000A3E04">
        <w:rPr>
          <w:rFonts w:ascii="宋体" w:eastAsia="宋体" w:hAnsi="Times New Roman" w:hint="eastAsia"/>
          <w:color w:val="000000"/>
        </w:rPr>
        <w:t>李律师擅长处理包括公司法、合同法、金融法律等领域争议的诉讼</w:t>
      </w:r>
      <w:r w:rsidRPr="000A3E04">
        <w:rPr>
          <w:rFonts w:ascii="宋体" w:eastAsia="宋体" w:hAnsi="Times New Roman"/>
          <w:color w:val="000000"/>
        </w:rPr>
        <w:t>/仲裁实务以及复杂破产法律实务问题。</w:t>
      </w:r>
    </w:p>
    <w:p w14:paraId="49EAC81D" w14:textId="77777777" w:rsidR="000A3E04" w:rsidRDefault="000A3E04" w:rsidP="000A3E04">
      <w:pPr>
        <w:pStyle w:val="af5"/>
        <w:spacing w:after="0" w:line="480" w:lineRule="auto"/>
        <w:rPr>
          <w:rFonts w:ascii="宋体" w:eastAsia="宋体" w:hAnsi="宋体"/>
          <w:b/>
          <w:sz w:val="24"/>
        </w:rPr>
      </w:pPr>
      <w:r w:rsidRPr="000A3E04">
        <w:rPr>
          <w:rFonts w:ascii="宋体" w:eastAsia="宋体" w:hAnsi="宋体" w:hint="eastAsia"/>
          <w:b/>
          <w:sz w:val="24"/>
        </w:rPr>
        <w:t>近期代理的主要案件</w:t>
      </w:r>
    </w:p>
    <w:p w14:paraId="6E47360E" w14:textId="77777777" w:rsidR="000A3E04" w:rsidRDefault="000A3E04" w:rsidP="000A3E04">
      <w:pPr>
        <w:pStyle w:val="af5"/>
        <w:spacing w:before="120"/>
        <w:rPr>
          <w:rFonts w:ascii="宋体" w:eastAsia="宋体" w:hAnsi="Times New Roman"/>
          <w:color w:val="000000"/>
        </w:rPr>
      </w:pPr>
      <w:r w:rsidRPr="000A3E04">
        <w:rPr>
          <w:rFonts w:ascii="宋体" w:eastAsia="宋体" w:hAnsi="Times New Roman" w:hint="eastAsia"/>
          <w:color w:val="000000"/>
        </w:rPr>
        <w:t>诉讼代表性案例</w:t>
      </w:r>
    </w:p>
    <w:p w14:paraId="0B0F00F7" w14:textId="77777777" w:rsidR="000A3E04" w:rsidRDefault="000A3E04" w:rsidP="000A3E04">
      <w:pPr>
        <w:pStyle w:val="af5"/>
        <w:numPr>
          <w:ilvl w:val="0"/>
          <w:numId w:val="1"/>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代表一家外资基金，在最高法院商事法庭处理其就某汽车生产企业股权转让交易项下的巨额转让价款针对保证人提起的一审诉讼案件，取得法院支持诉讼请求的胜诉判决；</w:t>
      </w:r>
    </w:p>
    <w:p w14:paraId="0432618D" w14:textId="77777777" w:rsidR="000A3E04" w:rsidRDefault="000A3E04" w:rsidP="000A3E04">
      <w:pPr>
        <w:pStyle w:val="af5"/>
        <w:numPr>
          <w:ilvl w:val="0"/>
          <w:numId w:val="2"/>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代表一家民营航空公司，在最高法院处理一起公司对外担保效力的二审诉讼案件，获得二审否定航空公司需要承担保证责任、驳回原告相应诉讼请求的改判终审判决；</w:t>
      </w:r>
    </w:p>
    <w:p w14:paraId="14C2BC5A" w14:textId="77777777" w:rsidR="000A3E04" w:rsidRDefault="000A3E04" w:rsidP="000A3E04">
      <w:pPr>
        <w:pStyle w:val="af5"/>
        <w:numPr>
          <w:ilvl w:val="0"/>
          <w:numId w:val="3"/>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代表一家国有私募基金，在北京高院针对暴风集团提起金额超过</w:t>
      </w:r>
      <w:r w:rsidRPr="000A3E04">
        <w:rPr>
          <w:rFonts w:ascii="宋体" w:eastAsia="宋体" w:hAnsi="Times New Roman"/>
          <w:color w:val="000000"/>
        </w:rPr>
        <w:t>7亿元的跨国并购股权转让损害赔偿诉讼，通过向最高法院提起上诉获得二审裁定撤销对私募基金不利的原审判决、发回重审的阶段性结论，案件最终获得北京高院重审支持70%损害赔偿请求的生效判决；</w:t>
      </w:r>
    </w:p>
    <w:p w14:paraId="1DE76604" w14:textId="77777777" w:rsidR="000A3E04" w:rsidRDefault="000A3E04" w:rsidP="000A3E04">
      <w:pPr>
        <w:pStyle w:val="af5"/>
        <w:numPr>
          <w:ilvl w:val="0"/>
          <w:numId w:val="4"/>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代表一家民营航空公司，针对原二审法院要求航空公司赔偿高管原告股权激励款项</w:t>
      </w:r>
      <w:r w:rsidRPr="000A3E04">
        <w:rPr>
          <w:rFonts w:ascii="宋体" w:eastAsia="宋体" w:hAnsi="Times New Roman"/>
          <w:color w:val="000000"/>
        </w:rPr>
        <w:t>4,600余万元的生效判决，向广西高院提起再审申请，并获得广西高院撤销原二审判决、发回重审裁定，重审一、二审法院审理后的最终生效判决确认航空公司赔偿高管1000万余元，获得减损额3600万元的有利结果；</w:t>
      </w:r>
    </w:p>
    <w:p w14:paraId="6F6EAF05" w14:textId="77777777" w:rsidR="000A3E04" w:rsidRDefault="000A3E04" w:rsidP="000A3E04">
      <w:pPr>
        <w:pStyle w:val="af5"/>
        <w:numPr>
          <w:ilvl w:val="0"/>
          <w:numId w:val="5"/>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代表一家大型民营投资集团，在云南法院应对航空公司股权并购交易中原股东起诉的股权转让系列争议，获得法院支持投资集团主张的各案胜诉判决后与原股东各方进行整体商业和解；</w:t>
      </w:r>
    </w:p>
    <w:p w14:paraId="6B614181" w14:textId="77777777" w:rsidR="000A3E04" w:rsidRDefault="000A3E04" w:rsidP="000A3E04">
      <w:pPr>
        <w:pStyle w:val="af5"/>
        <w:numPr>
          <w:ilvl w:val="0"/>
          <w:numId w:val="6"/>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民营互联网公司，在上海法院就某有影响力的商业报刊系列报道引发的商誉侵权案件提起诉讼，获得上海法院发布的、非知识产权案件中首例要求被告在诉讼中不得进行类似报道的行为保全禁令，并最终获得二审法院判决支持被告停止侵权和损害赔偿的胜诉判决；</w:t>
      </w:r>
    </w:p>
    <w:p w14:paraId="65192F21" w14:textId="77777777" w:rsidR="000A3E04" w:rsidRDefault="000A3E04" w:rsidP="000A3E04">
      <w:pPr>
        <w:pStyle w:val="af5"/>
        <w:numPr>
          <w:ilvl w:val="0"/>
          <w:numId w:val="7"/>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代表一家国有私募基金，在上海法院处理其与某上市公司及其董事之间的限售股解禁诉讼，通过法院调解实现了限售股解禁的要求；</w:t>
      </w:r>
    </w:p>
    <w:p w14:paraId="3C9312C6" w14:textId="77777777" w:rsidR="000A3E04" w:rsidRDefault="000A3E04" w:rsidP="000A3E04">
      <w:pPr>
        <w:pStyle w:val="af5"/>
        <w:numPr>
          <w:ilvl w:val="0"/>
          <w:numId w:val="8"/>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代表一家国有证券公司，在上海法院处理其与某上市公司之间的限售股解禁诉讼，通过上海法院首例支持限售股解禁并赔偿损失的判决；</w:t>
      </w:r>
    </w:p>
    <w:p w14:paraId="0D215FF2" w14:textId="77777777" w:rsidR="000A3E04" w:rsidRDefault="000A3E04" w:rsidP="000A3E04">
      <w:pPr>
        <w:pStyle w:val="af5"/>
        <w:numPr>
          <w:ilvl w:val="0"/>
          <w:numId w:val="9"/>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代表一家香港上市地产公司，在上海法院处理其与合资公司</w:t>
      </w:r>
      <w:r w:rsidRPr="000A3E04">
        <w:rPr>
          <w:rFonts w:ascii="宋体" w:eastAsia="宋体" w:hAnsi="Times New Roman"/>
          <w:color w:val="000000"/>
        </w:rPr>
        <w:t>/中方股东之间的关联借款争议，获得二审改判一审的胜诉判决，并获得全额受偿；</w:t>
      </w:r>
    </w:p>
    <w:p w14:paraId="5FB23254" w14:textId="77777777" w:rsidR="000A3E04" w:rsidRDefault="000A3E04" w:rsidP="000A3E04">
      <w:pPr>
        <w:pStyle w:val="af5"/>
        <w:numPr>
          <w:ilvl w:val="0"/>
          <w:numId w:val="10"/>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代表一家香港上市地产公司，在上海法院处理其与某上海国有集团合作土地开发协议诉讼，获得胜诉判决及相对方的全额清偿；</w:t>
      </w:r>
    </w:p>
    <w:p w14:paraId="4F87DECA" w14:textId="77777777" w:rsidR="000A3E04" w:rsidRDefault="000A3E04" w:rsidP="000A3E04">
      <w:pPr>
        <w:pStyle w:val="af5"/>
        <w:numPr>
          <w:ilvl w:val="0"/>
          <w:numId w:val="11"/>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w:t>
      </w:r>
      <w:r w:rsidRPr="000A3E04">
        <w:rPr>
          <w:rFonts w:ascii="宋体" w:eastAsia="宋体" w:hAnsi="Times New Roman"/>
          <w:color w:val="000000"/>
        </w:rPr>
        <w:t>A股上市地产公司，在上海法院针对租赁合同相对方的股东提起减资逃债侵权诉讼，获得二审终审胜诉判决支持全额赔偿；</w:t>
      </w:r>
    </w:p>
    <w:p w14:paraId="789E23EE" w14:textId="77777777" w:rsidR="000A3E04" w:rsidRDefault="000A3E04" w:rsidP="000A3E04">
      <w:pPr>
        <w:pStyle w:val="af5"/>
        <w:numPr>
          <w:ilvl w:val="0"/>
          <w:numId w:val="12"/>
        </w:numPr>
        <w:spacing w:before="120"/>
        <w:ind w:left="690" w:hanging="240"/>
        <w:rPr>
          <w:rFonts w:ascii="宋体" w:eastAsia="宋体" w:hAnsi="Times New Roman"/>
          <w:color w:val="000000"/>
        </w:rPr>
      </w:pPr>
      <w:r w:rsidRPr="000A3E04">
        <w:rPr>
          <w:rFonts w:ascii="宋体" w:eastAsia="宋体" w:hAnsi="Times New Roman" w:hint="eastAsia"/>
          <w:color w:val="000000"/>
        </w:rPr>
        <w:t>代表某大型国有银行，在上海法院和新加坡法院处理其与某大型石化集团境外公司之间的信用证欺诈</w:t>
      </w:r>
      <w:r w:rsidRPr="000A3E04">
        <w:rPr>
          <w:rFonts w:ascii="宋体" w:eastAsia="宋体" w:hAnsi="Times New Roman"/>
          <w:color w:val="000000"/>
        </w:rPr>
        <w:t>/支付平行诉讼，案件涉及底层虚假的大宗商品循环贸易（刑事诈骗）以及信用证开证申请人在日本的破产重整程序，最终以各司法程序全案和解结案；</w:t>
      </w:r>
    </w:p>
    <w:p w14:paraId="0D852BE5" w14:textId="77777777" w:rsidR="000A3E04" w:rsidRDefault="000A3E04" w:rsidP="000A3E04">
      <w:pPr>
        <w:pStyle w:val="af5"/>
        <w:numPr>
          <w:ilvl w:val="0"/>
          <w:numId w:val="13"/>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代表一家公募基金子公司，在上海法院处理国内首例因</w:t>
      </w:r>
      <w:r w:rsidRPr="000A3E04">
        <w:rPr>
          <w:rFonts w:ascii="宋体" w:eastAsia="宋体" w:hAnsi="Times New Roman"/>
          <w:color w:val="000000"/>
        </w:rPr>
        <w:t>ABS发行人虚假陈述引发的管理人责任诉讼，首案目前正在上海高院二审审理过程中，其余案件在浙江法院一审过程中；</w:t>
      </w:r>
    </w:p>
    <w:p w14:paraId="16217379" w14:textId="77777777" w:rsidR="000A3E04" w:rsidRDefault="000A3E04" w:rsidP="000A3E04">
      <w:pPr>
        <w:pStyle w:val="af5"/>
        <w:numPr>
          <w:ilvl w:val="0"/>
          <w:numId w:val="14"/>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代表一家证券公司，在北京法院、广州法院、武汉法院应对个人及机构投资者提起的主板市场和新三板的证券虚假陈述侵权诉讼。</w:t>
      </w:r>
    </w:p>
    <w:p w14:paraId="41EB233E" w14:textId="77777777" w:rsidR="000A3E04" w:rsidRDefault="000A3E04" w:rsidP="000A3E04">
      <w:pPr>
        <w:pStyle w:val="af5"/>
        <w:spacing w:before="120"/>
        <w:rPr>
          <w:rFonts w:ascii="宋体" w:eastAsia="宋体" w:hAnsi="Times New Roman"/>
          <w:color w:val="000000"/>
        </w:rPr>
      </w:pPr>
      <w:r w:rsidRPr="000A3E04">
        <w:rPr>
          <w:rFonts w:ascii="宋体" w:eastAsia="宋体" w:hAnsi="Times New Roman" w:hint="eastAsia"/>
          <w:color w:val="000000"/>
        </w:rPr>
        <w:t>仲裁代表性案例</w:t>
      </w:r>
    </w:p>
    <w:p w14:paraId="18887CB2" w14:textId="77777777" w:rsidR="000A3E04" w:rsidRDefault="000A3E04" w:rsidP="000A3E04">
      <w:pPr>
        <w:pStyle w:val="af5"/>
        <w:numPr>
          <w:ilvl w:val="0"/>
          <w:numId w:val="15"/>
        </w:numPr>
        <w:spacing w:before="120"/>
        <w:ind w:left="690" w:hanging="240"/>
        <w:rPr>
          <w:rFonts w:ascii="宋体" w:eastAsia="宋体" w:hAnsi="Times New Roman"/>
          <w:color w:val="000000"/>
        </w:rPr>
      </w:pPr>
      <w:r w:rsidRPr="000A3E04">
        <w:rPr>
          <w:rFonts w:ascii="宋体" w:eastAsia="宋体" w:hAnsi="Times New Roman" w:hint="eastAsia"/>
          <w:color w:val="000000"/>
        </w:rPr>
        <w:t>代表某外资银行，在中国贸仲处理其与不同客户之间的十起场外外汇衍生品合同终止应付额款项追索争议案件，除一起案件获得支持的金额比例较低外，其余九起案件获得仲裁机构支持全部或者绝大部分请求金额的胜诉裁决；</w:t>
      </w:r>
    </w:p>
    <w:p w14:paraId="354CE814" w14:textId="77777777" w:rsidR="000A3E04" w:rsidRDefault="000A3E04" w:rsidP="000A3E04">
      <w:pPr>
        <w:pStyle w:val="af5"/>
        <w:numPr>
          <w:ilvl w:val="0"/>
          <w:numId w:val="16"/>
        </w:numPr>
        <w:spacing w:before="120"/>
        <w:ind w:left="690" w:hanging="240"/>
        <w:rPr>
          <w:rFonts w:ascii="宋体" w:eastAsia="宋体" w:hAnsi="Times New Roman"/>
          <w:color w:val="000000"/>
        </w:rPr>
      </w:pPr>
      <w:r w:rsidRPr="000A3E04">
        <w:rPr>
          <w:rFonts w:ascii="宋体" w:eastAsia="宋体" w:hAnsi="Times New Roman" w:hint="eastAsia"/>
          <w:color w:val="000000"/>
        </w:rPr>
        <w:t>代表某央企下属大宗商品贸易公司，在中国贸仲针对境内一家民营集团公司提起的合同货款追索仲裁，获得仲裁机构全额支持货款本息的胜诉裁决；</w:t>
      </w:r>
    </w:p>
    <w:p w14:paraId="00BAF6EF" w14:textId="77777777" w:rsidR="000A3E04" w:rsidRDefault="000A3E04" w:rsidP="000A3E04">
      <w:pPr>
        <w:pStyle w:val="af5"/>
        <w:numPr>
          <w:ilvl w:val="0"/>
          <w:numId w:val="17"/>
        </w:numPr>
        <w:spacing w:before="120"/>
        <w:ind w:left="690" w:hanging="240"/>
        <w:rPr>
          <w:rFonts w:ascii="宋体" w:eastAsia="宋体" w:hAnsi="Times New Roman"/>
          <w:color w:val="000000"/>
        </w:rPr>
      </w:pPr>
      <w:r w:rsidRPr="000A3E04">
        <w:rPr>
          <w:rFonts w:ascii="宋体" w:eastAsia="宋体" w:hAnsi="Times New Roman" w:hint="eastAsia"/>
          <w:color w:val="000000"/>
        </w:rPr>
        <w:t>代表某国有上市公司旗下酒店项目公司，在中国贸仲应对酒店管理方提起的合同解除损害赔偿仲裁，获得仲裁机构驳回仲裁申请人半数以上损失赔偿请求的有利裁决；</w:t>
      </w:r>
    </w:p>
    <w:p w14:paraId="3FD188C9" w14:textId="77777777" w:rsidR="000A3E04" w:rsidRDefault="000A3E04" w:rsidP="000A3E04">
      <w:pPr>
        <w:pStyle w:val="af5"/>
        <w:numPr>
          <w:ilvl w:val="0"/>
          <w:numId w:val="18"/>
        </w:numPr>
        <w:spacing w:before="120"/>
        <w:ind w:left="690" w:hanging="240"/>
        <w:rPr>
          <w:rFonts w:ascii="宋体" w:eastAsia="宋体" w:hAnsi="Times New Roman"/>
          <w:color w:val="000000"/>
        </w:rPr>
      </w:pPr>
      <w:r w:rsidRPr="000A3E04">
        <w:rPr>
          <w:rFonts w:ascii="宋体" w:eastAsia="宋体" w:hAnsi="Times New Roman" w:hint="eastAsia"/>
          <w:color w:val="000000"/>
        </w:rPr>
        <w:t>代表某外资基金的</w:t>
      </w:r>
      <w:r w:rsidRPr="000A3E04">
        <w:rPr>
          <w:rFonts w:ascii="宋体" w:eastAsia="宋体" w:hAnsi="Times New Roman"/>
          <w:color w:val="000000"/>
        </w:rPr>
        <w:t>GP，在中国贸仲处理其与基金LP之间的不当得利争议，获得支持客户全部诉求的胜诉裁决并经强制执行全额清偿；</w:t>
      </w:r>
    </w:p>
    <w:p w14:paraId="28C83651" w14:textId="77777777" w:rsidR="000A3E04" w:rsidRDefault="000A3E04" w:rsidP="000A3E04">
      <w:pPr>
        <w:pStyle w:val="af5"/>
        <w:numPr>
          <w:ilvl w:val="0"/>
          <w:numId w:val="19"/>
        </w:numPr>
        <w:spacing w:before="120"/>
        <w:ind w:left="690" w:hanging="240"/>
        <w:rPr>
          <w:rFonts w:ascii="宋体" w:eastAsia="宋体" w:hAnsi="Times New Roman"/>
          <w:color w:val="000000"/>
        </w:rPr>
      </w:pPr>
      <w:r w:rsidRPr="000A3E04">
        <w:rPr>
          <w:rFonts w:ascii="宋体" w:eastAsia="宋体" w:hAnsi="Times New Roman" w:hint="eastAsia"/>
          <w:color w:val="000000"/>
        </w:rPr>
        <w:t>代表某外资基金，在中国贸仲处理其就某汽车生产企业股权转让交易项下的巨额转让价款支付事宜提起的仲裁程序，获得支持全部请求的胜诉裁决；</w:t>
      </w:r>
    </w:p>
    <w:p w14:paraId="13002965" w14:textId="77777777" w:rsidR="000A3E04" w:rsidRDefault="000A3E04" w:rsidP="000A3E04">
      <w:pPr>
        <w:pStyle w:val="af5"/>
        <w:numPr>
          <w:ilvl w:val="0"/>
          <w:numId w:val="20"/>
        </w:numPr>
        <w:spacing w:before="120"/>
        <w:ind w:left="690" w:hanging="240"/>
        <w:rPr>
          <w:rFonts w:ascii="宋体" w:eastAsia="宋体" w:hAnsi="Times New Roman"/>
          <w:color w:val="000000"/>
        </w:rPr>
      </w:pPr>
      <w:r w:rsidRPr="000A3E04">
        <w:rPr>
          <w:rFonts w:ascii="宋体" w:eastAsia="宋体" w:hAnsi="Times New Roman" w:hint="eastAsia"/>
          <w:color w:val="000000"/>
        </w:rPr>
        <w:t>代表某医药公司创始人团队，在中国贸仲应对医药公司某股东提起的要求宣告创始人团队在境外发行股份交易行为无效的仲裁，获得仲裁机构支持股份发行行为有效的胜诉裁决；</w:t>
      </w:r>
    </w:p>
    <w:p w14:paraId="09EFC7CA" w14:textId="77777777" w:rsidR="000A3E04" w:rsidRDefault="000A3E04" w:rsidP="000A3E04">
      <w:pPr>
        <w:pStyle w:val="af5"/>
        <w:numPr>
          <w:ilvl w:val="0"/>
          <w:numId w:val="21"/>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代表一家私募股权投资基金，处理涉及第三方支付公司股权并购交易的上海国际仲裁中心争议程序，获得相对方全额支付仲裁请求金额的胜诉裁决；</w:t>
      </w:r>
    </w:p>
    <w:p w14:paraId="61D66EE8" w14:textId="77777777" w:rsidR="000A3E04" w:rsidRDefault="000A3E04" w:rsidP="000A3E04">
      <w:pPr>
        <w:pStyle w:val="af5"/>
        <w:numPr>
          <w:ilvl w:val="0"/>
          <w:numId w:val="22"/>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代表一家数字健康国际知名独角兽企业，在上海国际仲裁中心提起因并购交易转让方违约产生的纠纷，案件以相对方承诺继续履约达成和解结案；</w:t>
      </w:r>
    </w:p>
    <w:p w14:paraId="22F1C12B" w14:textId="77777777" w:rsidR="000A3E04" w:rsidRDefault="000A3E04" w:rsidP="000A3E04">
      <w:pPr>
        <w:pStyle w:val="af5"/>
        <w:numPr>
          <w:ilvl w:val="0"/>
          <w:numId w:val="23"/>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代表一家数字健康国际知名独角兽企业，在上海国际仲裁中心应对被投资公司原股东提起的股权转让价款支付诉求</w:t>
      </w:r>
      <w:r w:rsidRPr="000A3E04">
        <w:rPr>
          <w:rFonts w:ascii="宋体" w:eastAsia="宋体" w:hAnsi="Times New Roman"/>
          <w:color w:val="000000"/>
        </w:rPr>
        <w:t>/提起要求原股东承担违约责任的反请求，案件以双方和解结案；</w:t>
      </w:r>
    </w:p>
    <w:p w14:paraId="550A56BF" w14:textId="77777777" w:rsidR="000A3E04" w:rsidRDefault="000A3E04" w:rsidP="000A3E04">
      <w:pPr>
        <w:pStyle w:val="af5"/>
        <w:numPr>
          <w:ilvl w:val="0"/>
          <w:numId w:val="24"/>
        </w:numPr>
        <w:spacing w:before="120"/>
        <w:ind w:left="690" w:hanging="240"/>
        <w:rPr>
          <w:rFonts w:ascii="宋体" w:eastAsia="宋体" w:hAnsi="Times New Roman"/>
          <w:color w:val="000000"/>
        </w:rPr>
      </w:pPr>
      <w:r w:rsidRPr="000A3E04">
        <w:rPr>
          <w:rFonts w:ascii="宋体" w:eastAsia="宋体" w:hAnsi="Times New Roman" w:hint="eastAsia"/>
          <w:color w:val="000000"/>
        </w:rPr>
        <w:t>代表某资管公司，在上海国际仲裁中心针对某证券公司提起资产管理合同争议，并获得由该证券公司全额赔偿损失的胜诉裁决；</w:t>
      </w:r>
    </w:p>
    <w:p w14:paraId="05C0DBF9" w14:textId="77777777" w:rsidR="000A3E04" w:rsidRDefault="000A3E04" w:rsidP="000A3E04">
      <w:pPr>
        <w:pStyle w:val="af5"/>
        <w:numPr>
          <w:ilvl w:val="0"/>
          <w:numId w:val="25"/>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代表一家公募基金公司，应对某投资机构在上海国际仲裁中心提起的损害赔偿争议，并获得驳回申请人全部仲裁申请的胜诉裁决；</w:t>
      </w:r>
    </w:p>
    <w:p w14:paraId="15E415A3" w14:textId="77777777" w:rsidR="000A3E04" w:rsidRDefault="000A3E04" w:rsidP="000A3E04">
      <w:pPr>
        <w:pStyle w:val="af5"/>
        <w:numPr>
          <w:ilvl w:val="0"/>
          <w:numId w:val="26"/>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代表一家民营控股集团，在上海仲裁委应对其与一家上市公司之间涉及业绩对赌的并购交易仲裁程序，该等交易同时导致了一起重大刑事争议案件，该案以申请人撤诉结案；</w:t>
      </w:r>
    </w:p>
    <w:p w14:paraId="0788A785" w14:textId="77777777" w:rsidR="000A3E04" w:rsidRDefault="000A3E04" w:rsidP="000A3E04">
      <w:pPr>
        <w:pStyle w:val="af5"/>
        <w:numPr>
          <w:ilvl w:val="0"/>
          <w:numId w:val="27"/>
        </w:numPr>
        <w:spacing w:before="120"/>
        <w:ind w:left="690" w:hanging="240"/>
        <w:rPr>
          <w:rFonts w:ascii="宋体" w:eastAsia="宋体" w:hAnsi="Times New Roman"/>
          <w:color w:val="000000"/>
        </w:rPr>
      </w:pPr>
      <w:r w:rsidRPr="000A3E04">
        <w:rPr>
          <w:rFonts w:ascii="宋体" w:eastAsia="宋体" w:hAnsi="Times New Roman" w:hint="eastAsia"/>
          <w:color w:val="000000"/>
        </w:rPr>
        <w:t>代表一家公募基金公司，在上海仲裁委应对诸多个人投资者提起的资管合同损害赔偿纠纷，部分案件获得驳回投资者诉请的裁决、其余部分案件投资者撤案；</w:t>
      </w:r>
    </w:p>
    <w:p w14:paraId="78EF18E8" w14:textId="77777777" w:rsidR="000A3E04" w:rsidRDefault="000A3E04" w:rsidP="000A3E04">
      <w:pPr>
        <w:pStyle w:val="af5"/>
        <w:numPr>
          <w:ilvl w:val="0"/>
          <w:numId w:val="28"/>
        </w:numPr>
        <w:spacing w:before="120"/>
        <w:ind w:left="690" w:hanging="240"/>
        <w:rPr>
          <w:rFonts w:ascii="宋体" w:eastAsia="宋体" w:hAnsi="Times New Roman"/>
          <w:color w:val="000000"/>
        </w:rPr>
      </w:pPr>
      <w:r w:rsidRPr="000A3E04">
        <w:rPr>
          <w:rFonts w:ascii="宋体" w:eastAsia="宋体" w:hAnsi="Times New Roman" w:hint="eastAsia"/>
          <w:color w:val="000000"/>
        </w:rPr>
        <w:t>代表一</w:t>
      </w:r>
      <w:r w:rsidRPr="000A3E04">
        <w:rPr>
          <w:rFonts w:ascii="宋体" w:eastAsia="宋体" w:hAnsi="Times New Roman"/>
          <w:color w:val="000000"/>
        </w:rPr>
        <w:t>A股上市公司，在杭州仲裁委处理其对外出租的星级酒店租赁合同租金支付及合同解除仲裁，审理过程中取得浙江法院的行为保全禁令，最终获得胜诉裁决、清退承租人及租金全额清偿。</w:t>
      </w:r>
    </w:p>
    <w:p w14:paraId="11667295" w14:textId="77777777" w:rsidR="000A3E04" w:rsidRDefault="000A3E04" w:rsidP="000A3E04">
      <w:pPr>
        <w:pStyle w:val="af5"/>
        <w:spacing w:after="0" w:line="480" w:lineRule="auto"/>
        <w:rPr>
          <w:rFonts w:ascii="宋体" w:eastAsia="宋体" w:hAnsi="宋体"/>
          <w:b/>
          <w:sz w:val="24"/>
        </w:rPr>
      </w:pPr>
      <w:r w:rsidRPr="000A3E04">
        <w:rPr>
          <w:rFonts w:ascii="宋体" w:eastAsia="宋体" w:hAnsi="宋体" w:hint="eastAsia"/>
          <w:b/>
          <w:sz w:val="24"/>
        </w:rPr>
        <w:t>教育背景</w:t>
      </w:r>
    </w:p>
    <w:p w14:paraId="05900E88" w14:textId="77777777" w:rsidR="000A3E04" w:rsidRDefault="000A3E04" w:rsidP="000A3E04">
      <w:pPr>
        <w:pStyle w:val="af5"/>
        <w:numPr>
          <w:ilvl w:val="0"/>
          <w:numId w:val="29"/>
        </w:numPr>
        <w:spacing w:before="120"/>
        <w:ind w:left="690" w:hanging="240"/>
        <w:rPr>
          <w:rFonts w:ascii="宋体" w:eastAsia="宋体" w:hAnsi="Times New Roman"/>
          <w:color w:val="000000"/>
        </w:rPr>
      </w:pPr>
      <w:r w:rsidRPr="000A3E04">
        <w:rPr>
          <w:rFonts w:ascii="宋体" w:eastAsia="宋体" w:hAnsi="Times New Roman" w:hint="eastAsia"/>
          <w:color w:val="000000"/>
        </w:rPr>
        <w:t>复旦大学，法学学士</w:t>
      </w:r>
    </w:p>
    <w:p w14:paraId="1AC915E1" w14:textId="77777777" w:rsidR="000A3E04" w:rsidRDefault="000A3E04" w:rsidP="000A3E04">
      <w:pPr>
        <w:pStyle w:val="af5"/>
        <w:numPr>
          <w:ilvl w:val="0"/>
          <w:numId w:val="30"/>
        </w:numPr>
        <w:spacing w:before="120"/>
        <w:ind w:left="690" w:hanging="240"/>
        <w:rPr>
          <w:rFonts w:ascii="宋体" w:eastAsia="宋体" w:hAnsi="Times New Roman"/>
          <w:color w:val="000000"/>
        </w:rPr>
      </w:pPr>
      <w:r w:rsidRPr="000A3E04">
        <w:rPr>
          <w:rFonts w:ascii="宋体" w:eastAsia="宋体" w:hAnsi="Times New Roman" w:hint="eastAsia"/>
          <w:color w:val="000000"/>
        </w:rPr>
        <w:t>华东政法大学，法学硕士</w:t>
      </w:r>
    </w:p>
    <w:p w14:paraId="68B4BA5F" w14:textId="77777777" w:rsidR="000A3E04" w:rsidRDefault="000A3E04" w:rsidP="000A3E04">
      <w:pPr>
        <w:pStyle w:val="af5"/>
        <w:spacing w:after="0" w:line="480" w:lineRule="auto"/>
        <w:rPr>
          <w:rFonts w:ascii="宋体" w:eastAsia="宋体" w:hAnsi="宋体"/>
          <w:b/>
          <w:sz w:val="24"/>
        </w:rPr>
      </w:pPr>
      <w:r w:rsidRPr="000A3E04">
        <w:rPr>
          <w:rFonts w:ascii="宋体" w:eastAsia="宋体" w:hAnsi="宋体" w:hint="eastAsia"/>
          <w:b/>
          <w:sz w:val="24"/>
        </w:rPr>
        <w:t>执业资格</w:t>
      </w:r>
    </w:p>
    <w:p w14:paraId="60B0720C" w14:textId="77777777" w:rsidR="000A3E04" w:rsidRDefault="000A3E04" w:rsidP="000A3E04">
      <w:pPr>
        <w:pStyle w:val="af5"/>
        <w:numPr>
          <w:ilvl w:val="0"/>
          <w:numId w:val="31"/>
        </w:numPr>
        <w:spacing w:before="120"/>
        <w:ind w:left="690" w:hanging="240"/>
        <w:rPr>
          <w:rFonts w:ascii="宋体" w:eastAsia="宋体" w:hAnsi="Times New Roman"/>
          <w:color w:val="000000"/>
        </w:rPr>
      </w:pPr>
      <w:r w:rsidRPr="000A3E04">
        <w:rPr>
          <w:rFonts w:ascii="宋体" w:eastAsia="宋体" w:hAnsi="Times New Roman" w:hint="eastAsia"/>
          <w:color w:val="000000"/>
        </w:rPr>
        <w:t>中华人民共和国执业律师</w:t>
      </w:r>
    </w:p>
    <w:p w14:paraId="17B038D5" w14:textId="77777777" w:rsidR="000A3E04" w:rsidRDefault="000A3E04" w:rsidP="000A3E04">
      <w:pPr>
        <w:pStyle w:val="af5"/>
        <w:numPr>
          <w:ilvl w:val="0"/>
          <w:numId w:val="32"/>
        </w:numPr>
        <w:spacing w:before="120"/>
        <w:ind w:left="690" w:hanging="240"/>
        <w:rPr>
          <w:rFonts w:ascii="宋体" w:eastAsia="宋体" w:hAnsi="Times New Roman"/>
          <w:color w:val="000000"/>
        </w:rPr>
      </w:pPr>
      <w:r w:rsidRPr="000A3E04">
        <w:rPr>
          <w:rFonts w:ascii="宋体" w:eastAsia="宋体" w:hAnsi="Times New Roman" w:hint="eastAsia"/>
          <w:color w:val="000000"/>
        </w:rPr>
        <w:t>上海仲裁委仲裁员</w:t>
      </w:r>
    </w:p>
    <w:p w14:paraId="01F3E33D" w14:textId="77777777" w:rsidR="000A3E04" w:rsidRDefault="000A3E04" w:rsidP="000A3E04">
      <w:pPr>
        <w:pStyle w:val="af5"/>
        <w:numPr>
          <w:ilvl w:val="0"/>
          <w:numId w:val="33"/>
        </w:numPr>
        <w:spacing w:before="120"/>
        <w:ind w:left="690" w:hanging="240"/>
        <w:rPr>
          <w:rFonts w:ascii="宋体" w:eastAsia="宋体" w:hAnsi="Times New Roman"/>
          <w:color w:val="000000"/>
        </w:rPr>
      </w:pPr>
      <w:r w:rsidRPr="000A3E04">
        <w:rPr>
          <w:rFonts w:ascii="宋体" w:eastAsia="宋体" w:hAnsi="Times New Roman" w:hint="eastAsia"/>
          <w:color w:val="000000"/>
        </w:rPr>
        <w:t>上海国际经济贸易仲裁委员会仲裁员</w:t>
      </w:r>
    </w:p>
    <w:p w14:paraId="2BC83448" w14:textId="77777777" w:rsidR="000A3E04" w:rsidRDefault="000A3E04" w:rsidP="000A3E04">
      <w:pPr>
        <w:pStyle w:val="af5"/>
        <w:numPr>
          <w:ilvl w:val="0"/>
          <w:numId w:val="34"/>
        </w:numPr>
        <w:spacing w:before="120"/>
        <w:ind w:left="690" w:hanging="240"/>
        <w:rPr>
          <w:rFonts w:ascii="宋体" w:eastAsia="宋体" w:hAnsi="Times New Roman"/>
          <w:color w:val="000000"/>
        </w:rPr>
      </w:pPr>
      <w:r w:rsidRPr="000A3E04">
        <w:rPr>
          <w:rFonts w:ascii="宋体" w:eastAsia="宋体" w:hAnsi="Times New Roman" w:hint="eastAsia"/>
          <w:color w:val="000000"/>
        </w:rPr>
        <w:t>中国国际经济贸易仲裁委员会仲裁员</w:t>
      </w:r>
    </w:p>
    <w:p w14:paraId="42A57B35" w14:textId="77777777" w:rsidR="000A3E04" w:rsidRDefault="000A3E04" w:rsidP="000A3E04">
      <w:pPr>
        <w:pStyle w:val="af5"/>
        <w:spacing w:after="0" w:line="480" w:lineRule="auto"/>
        <w:rPr>
          <w:rFonts w:ascii="宋体" w:eastAsia="宋体" w:hAnsi="宋体"/>
          <w:b/>
          <w:sz w:val="24"/>
        </w:rPr>
      </w:pPr>
      <w:r w:rsidRPr="000A3E04">
        <w:rPr>
          <w:rFonts w:ascii="宋体" w:eastAsia="宋体" w:hAnsi="宋体" w:hint="eastAsia"/>
          <w:b/>
          <w:sz w:val="24"/>
        </w:rPr>
        <w:t>职业背景</w:t>
      </w:r>
    </w:p>
    <w:p w14:paraId="051BD339" w14:textId="77777777" w:rsidR="000A3E04" w:rsidRDefault="000A3E04" w:rsidP="000A3E04">
      <w:pPr>
        <w:pStyle w:val="af5"/>
        <w:numPr>
          <w:ilvl w:val="0"/>
          <w:numId w:val="35"/>
        </w:numPr>
        <w:spacing w:before="120"/>
        <w:ind w:left="690" w:hanging="240"/>
        <w:rPr>
          <w:rFonts w:ascii="宋体" w:eastAsia="宋体" w:hAnsi="Times New Roman"/>
          <w:color w:val="000000"/>
        </w:rPr>
      </w:pPr>
      <w:r w:rsidRPr="000A3E04">
        <w:rPr>
          <w:rFonts w:ascii="宋体" w:eastAsia="宋体" w:hAnsi="Times New Roman" w:hint="eastAsia"/>
          <w:color w:val="000000"/>
        </w:rPr>
        <w:t>在</w:t>
      </w:r>
      <w:r w:rsidRPr="000A3E04">
        <w:rPr>
          <w:rFonts w:ascii="宋体" w:eastAsia="宋体" w:hAnsi="Times New Roman"/>
          <w:color w:val="000000"/>
        </w:rPr>
        <w:t>2012年底加入本所之前，李律师在上海市法院系统工作超过十五年。加入本所之后，李律师为客户处理涉及公司法、合同法和金融法领域复杂案件的诉讼和仲裁事宜，并代表金融机构客户作为债权人参与债务人的大型破产案件。</w:t>
      </w:r>
    </w:p>
    <w:p w14:paraId="6386C45F" w14:textId="77777777" w:rsidR="000A3E04" w:rsidRDefault="000A3E04" w:rsidP="000A3E04">
      <w:pPr>
        <w:pStyle w:val="af5"/>
        <w:spacing w:after="0" w:line="480" w:lineRule="auto"/>
        <w:rPr>
          <w:rFonts w:ascii="宋体" w:eastAsia="宋体" w:hAnsi="宋体"/>
          <w:b/>
          <w:sz w:val="24"/>
        </w:rPr>
      </w:pPr>
      <w:r w:rsidRPr="000A3E04">
        <w:rPr>
          <w:rFonts w:ascii="宋体" w:eastAsia="宋体" w:hAnsi="宋体" w:hint="eastAsia"/>
          <w:b/>
          <w:sz w:val="24"/>
        </w:rPr>
        <w:t>其他信息</w:t>
      </w:r>
    </w:p>
    <w:p w14:paraId="49251F78" w14:textId="77777777" w:rsidR="000A3E04" w:rsidRDefault="000A3E04" w:rsidP="000A3E04">
      <w:pPr>
        <w:pStyle w:val="af5"/>
        <w:spacing w:after="0" w:line="480" w:lineRule="auto"/>
        <w:rPr>
          <w:rFonts w:ascii="宋体" w:eastAsia="宋体" w:hAnsi="宋体"/>
          <w:b/>
          <w:sz w:val="24"/>
        </w:rPr>
      </w:pPr>
      <w:r w:rsidRPr="000A3E04">
        <w:rPr>
          <w:rFonts w:ascii="宋体" w:eastAsia="宋体" w:hAnsi="宋体" w:hint="eastAsia"/>
          <w:b/>
          <w:sz w:val="24"/>
        </w:rPr>
        <w:t>出版物</w:t>
      </w:r>
    </w:p>
    <w:p w14:paraId="1BDA02B1" w14:textId="77777777" w:rsidR="000A3E04" w:rsidRDefault="000A3E04" w:rsidP="000A3E04">
      <w:pPr>
        <w:pStyle w:val="af5"/>
        <w:numPr>
          <w:ilvl w:val="0"/>
          <w:numId w:val="36"/>
        </w:numPr>
        <w:spacing w:before="120"/>
        <w:ind w:left="690" w:hanging="240"/>
        <w:rPr>
          <w:rFonts w:ascii="宋体" w:eastAsia="宋体" w:hAnsi="Times New Roman"/>
          <w:color w:val="000000"/>
        </w:rPr>
      </w:pPr>
      <w:r w:rsidRPr="000A3E04">
        <w:rPr>
          <w:rFonts w:ascii="宋体" w:eastAsia="宋体" w:hAnsi="Times New Roman"/>
          <w:color w:val="000000"/>
        </w:rPr>
        <w:t xml:space="preserve">承担最高院审判疑难丛书《股权转让纠纷》相应章节的撰写任务 </w:t>
      </w:r>
    </w:p>
    <w:p w14:paraId="3F5A7E96" w14:textId="77777777" w:rsidR="000A3E04" w:rsidRDefault="000A3E04" w:rsidP="000A3E04">
      <w:pPr>
        <w:pStyle w:val="af5"/>
        <w:numPr>
          <w:ilvl w:val="0"/>
          <w:numId w:val="37"/>
        </w:numPr>
        <w:spacing w:before="120"/>
        <w:ind w:left="690" w:hanging="240"/>
        <w:rPr>
          <w:rFonts w:ascii="宋体" w:eastAsia="宋体" w:hAnsi="Times New Roman"/>
          <w:color w:val="000000"/>
        </w:rPr>
      </w:pPr>
      <w:r w:rsidRPr="000A3E04">
        <w:rPr>
          <w:rFonts w:ascii="宋体" w:eastAsia="宋体" w:hAnsi="Times New Roman"/>
          <w:color w:val="000000"/>
        </w:rPr>
        <w:t xml:space="preserve">参与最高院重大课题《关联企业合并破产问题研究》调研，并执笔课题报告相关章节 </w:t>
      </w:r>
    </w:p>
    <w:p w14:paraId="063F07BA" w14:textId="77777777" w:rsidR="000A3E04" w:rsidRDefault="000A3E04" w:rsidP="000A3E04">
      <w:pPr>
        <w:pStyle w:val="af5"/>
        <w:numPr>
          <w:ilvl w:val="0"/>
          <w:numId w:val="38"/>
        </w:numPr>
        <w:spacing w:before="120"/>
        <w:ind w:left="690" w:hanging="240"/>
        <w:rPr>
          <w:rFonts w:ascii="宋体" w:eastAsia="宋体" w:hAnsi="Times New Roman"/>
          <w:color w:val="000000"/>
        </w:rPr>
      </w:pPr>
      <w:r w:rsidRPr="000A3E04">
        <w:rPr>
          <w:rFonts w:ascii="宋体" w:eastAsia="宋体" w:hAnsi="Times New Roman"/>
          <w:color w:val="000000"/>
        </w:rPr>
        <w:t xml:space="preserve">在国内法学及金融刊物上公开发表论文三十余篇，包括： </w:t>
      </w:r>
    </w:p>
    <w:p w14:paraId="0C001B6B" w14:textId="77777777" w:rsidR="000A3E04" w:rsidRDefault="000A3E04" w:rsidP="000A3E04">
      <w:pPr>
        <w:pStyle w:val="af5"/>
        <w:numPr>
          <w:ilvl w:val="0"/>
          <w:numId w:val="39"/>
        </w:numPr>
        <w:spacing w:before="120"/>
        <w:ind w:left="690" w:hanging="240"/>
        <w:rPr>
          <w:rFonts w:ascii="宋体" w:eastAsia="宋体" w:hAnsi="Times New Roman"/>
          <w:color w:val="000000"/>
        </w:rPr>
      </w:pPr>
      <w:r w:rsidRPr="000A3E04">
        <w:rPr>
          <w:rFonts w:ascii="宋体" w:eastAsia="宋体" w:hAnsi="Times New Roman"/>
          <w:color w:val="000000"/>
        </w:rPr>
        <w:t xml:space="preserve">程序法律研究   《民事诉讼缺席审判制度应用问题研究》 </w:t>
      </w:r>
    </w:p>
    <w:p w14:paraId="10EE33F2" w14:textId="77777777" w:rsidR="000A3E04" w:rsidRDefault="000A3E04" w:rsidP="000A3E04">
      <w:pPr>
        <w:pStyle w:val="af5"/>
        <w:numPr>
          <w:ilvl w:val="0"/>
          <w:numId w:val="40"/>
        </w:numPr>
        <w:spacing w:before="120"/>
        <w:ind w:left="690" w:hanging="240"/>
        <w:rPr>
          <w:rFonts w:ascii="宋体" w:eastAsia="宋体" w:hAnsi="Times New Roman"/>
          <w:color w:val="000000"/>
        </w:rPr>
      </w:pPr>
      <w:r w:rsidRPr="000A3E04">
        <w:rPr>
          <w:rFonts w:ascii="宋体" w:eastAsia="宋体" w:hAnsi="Times New Roman"/>
          <w:color w:val="000000"/>
        </w:rPr>
        <w:t xml:space="preserve">《约定诉讼或仲裁可选的仲裁条款效力探讨》 </w:t>
      </w:r>
    </w:p>
    <w:p w14:paraId="46973150" w14:textId="77777777" w:rsidR="000A3E04" w:rsidRDefault="000A3E04" w:rsidP="000A3E04">
      <w:pPr>
        <w:pStyle w:val="af5"/>
        <w:numPr>
          <w:ilvl w:val="0"/>
          <w:numId w:val="41"/>
        </w:numPr>
        <w:spacing w:before="120"/>
        <w:ind w:left="690" w:hanging="240"/>
        <w:rPr>
          <w:rFonts w:ascii="宋体" w:eastAsia="宋体" w:hAnsi="Times New Roman"/>
          <w:color w:val="000000"/>
        </w:rPr>
      </w:pPr>
      <w:r w:rsidRPr="000A3E04">
        <w:rPr>
          <w:rFonts w:ascii="宋体" w:eastAsia="宋体" w:hAnsi="Times New Roman"/>
          <w:color w:val="000000"/>
        </w:rPr>
        <w:t xml:space="preserve">《从新破产法谈破产债权审查确认程序的完善》 </w:t>
      </w:r>
    </w:p>
    <w:p w14:paraId="4A28EFBC" w14:textId="77777777" w:rsidR="000A3E04" w:rsidRDefault="000A3E04" w:rsidP="000A3E04">
      <w:pPr>
        <w:pStyle w:val="af5"/>
        <w:numPr>
          <w:ilvl w:val="0"/>
          <w:numId w:val="42"/>
        </w:numPr>
        <w:spacing w:before="120"/>
        <w:ind w:left="690" w:hanging="240"/>
        <w:rPr>
          <w:rFonts w:ascii="宋体" w:eastAsia="宋体" w:hAnsi="Times New Roman"/>
          <w:color w:val="000000"/>
        </w:rPr>
      </w:pPr>
      <w:r w:rsidRPr="000A3E04">
        <w:rPr>
          <w:rFonts w:ascii="宋体" w:eastAsia="宋体" w:hAnsi="Times New Roman"/>
          <w:color w:val="000000"/>
        </w:rPr>
        <w:t xml:space="preserve">《与破产企业有关的实体争议管辖问题初论》 </w:t>
      </w:r>
    </w:p>
    <w:p w14:paraId="751E606F" w14:textId="77777777" w:rsidR="000A3E04" w:rsidRDefault="000A3E04" w:rsidP="000A3E04">
      <w:pPr>
        <w:pStyle w:val="af5"/>
        <w:numPr>
          <w:ilvl w:val="0"/>
          <w:numId w:val="43"/>
        </w:numPr>
        <w:spacing w:before="120"/>
        <w:ind w:left="690" w:hanging="240"/>
        <w:rPr>
          <w:rFonts w:ascii="宋体" w:eastAsia="宋体" w:hAnsi="Times New Roman"/>
          <w:color w:val="000000"/>
        </w:rPr>
      </w:pPr>
      <w:r w:rsidRPr="000A3E04">
        <w:rPr>
          <w:rFonts w:ascii="宋体" w:eastAsia="宋体" w:hAnsi="Times New Roman"/>
          <w:color w:val="000000"/>
        </w:rPr>
        <w:t xml:space="preserve">实体法律研究   《试论司法程序对名誉权侵权构成的影响》 </w:t>
      </w:r>
    </w:p>
    <w:p w14:paraId="0349ABC8" w14:textId="77777777" w:rsidR="000A3E04" w:rsidRDefault="000A3E04" w:rsidP="000A3E04">
      <w:pPr>
        <w:pStyle w:val="af5"/>
        <w:numPr>
          <w:ilvl w:val="0"/>
          <w:numId w:val="44"/>
        </w:numPr>
        <w:spacing w:before="120"/>
        <w:ind w:left="690" w:hanging="240"/>
        <w:rPr>
          <w:rFonts w:ascii="宋体" w:eastAsia="宋体" w:hAnsi="Times New Roman"/>
          <w:color w:val="000000"/>
        </w:rPr>
      </w:pPr>
      <w:r w:rsidRPr="000A3E04">
        <w:rPr>
          <w:rFonts w:ascii="宋体" w:eastAsia="宋体" w:hAnsi="Times New Roman"/>
          <w:color w:val="000000"/>
        </w:rPr>
        <w:t xml:space="preserve">《第三人实施侵权行为时经营者的安全保障义务-从合同法到侵权法》 </w:t>
      </w:r>
    </w:p>
    <w:p w14:paraId="732E754A" w14:textId="77777777" w:rsidR="000A3E04" w:rsidRDefault="000A3E04" w:rsidP="000A3E04">
      <w:pPr>
        <w:pStyle w:val="af5"/>
        <w:numPr>
          <w:ilvl w:val="0"/>
          <w:numId w:val="45"/>
        </w:numPr>
        <w:spacing w:before="120"/>
        <w:ind w:left="690" w:hanging="240"/>
        <w:rPr>
          <w:rFonts w:ascii="宋体" w:eastAsia="宋体" w:hAnsi="Times New Roman"/>
          <w:color w:val="000000"/>
        </w:rPr>
      </w:pPr>
      <w:r w:rsidRPr="000A3E04">
        <w:rPr>
          <w:rFonts w:ascii="宋体" w:eastAsia="宋体" w:hAnsi="Times New Roman"/>
          <w:color w:val="000000"/>
        </w:rPr>
        <w:t xml:space="preserve">《涉外民商事合同关系中的法律选择协议》 </w:t>
      </w:r>
    </w:p>
    <w:p w14:paraId="1B1B91B3" w14:textId="77777777" w:rsidR="000A3E04" w:rsidRDefault="000A3E04" w:rsidP="000A3E04">
      <w:pPr>
        <w:pStyle w:val="af5"/>
        <w:numPr>
          <w:ilvl w:val="0"/>
          <w:numId w:val="46"/>
        </w:numPr>
        <w:spacing w:before="120"/>
        <w:ind w:left="690" w:hanging="240"/>
        <w:rPr>
          <w:rFonts w:ascii="宋体" w:eastAsia="宋体" w:hAnsi="Times New Roman"/>
          <w:color w:val="000000"/>
        </w:rPr>
      </w:pPr>
      <w:r w:rsidRPr="000A3E04">
        <w:rPr>
          <w:rFonts w:ascii="宋体" w:eastAsia="宋体" w:hAnsi="Times New Roman"/>
          <w:color w:val="000000"/>
        </w:rPr>
        <w:t xml:space="preserve">《我国利率市场化改革及对审判实践的影响》 </w:t>
      </w:r>
    </w:p>
    <w:p w14:paraId="7DFD8FD5" w14:textId="77777777" w:rsidR="000A3E04" w:rsidRDefault="000A3E04" w:rsidP="000A3E04">
      <w:pPr>
        <w:pStyle w:val="af5"/>
        <w:numPr>
          <w:ilvl w:val="0"/>
          <w:numId w:val="47"/>
        </w:numPr>
        <w:spacing w:before="120"/>
        <w:ind w:left="690" w:hanging="240"/>
        <w:rPr>
          <w:rFonts w:ascii="宋体" w:eastAsia="宋体" w:hAnsi="Times New Roman"/>
          <w:color w:val="000000"/>
        </w:rPr>
      </w:pPr>
      <w:r w:rsidRPr="000A3E04">
        <w:rPr>
          <w:rFonts w:ascii="宋体" w:eastAsia="宋体" w:hAnsi="Times New Roman"/>
          <w:color w:val="000000"/>
        </w:rPr>
        <w:t xml:space="preserve">《银行提前收回贷款问题研究》 </w:t>
      </w:r>
    </w:p>
    <w:p w14:paraId="5A424FE7" w14:textId="77777777" w:rsidR="000A3E04" w:rsidRDefault="000A3E04" w:rsidP="000A3E04">
      <w:pPr>
        <w:pStyle w:val="af5"/>
        <w:numPr>
          <w:ilvl w:val="0"/>
          <w:numId w:val="48"/>
        </w:numPr>
        <w:spacing w:before="120"/>
        <w:ind w:left="690" w:hanging="240"/>
        <w:rPr>
          <w:rFonts w:ascii="宋体" w:eastAsia="宋体" w:hAnsi="Times New Roman"/>
          <w:color w:val="000000"/>
        </w:rPr>
      </w:pPr>
      <w:r w:rsidRPr="000A3E04">
        <w:rPr>
          <w:rFonts w:ascii="宋体" w:eastAsia="宋体" w:hAnsi="Times New Roman"/>
          <w:color w:val="000000"/>
        </w:rPr>
        <w:t xml:space="preserve">《试论银行业务实践中的授信额度合同》 </w:t>
      </w:r>
    </w:p>
    <w:p w14:paraId="02A825F0" w14:textId="77777777" w:rsidR="000A3E04" w:rsidRDefault="000A3E04" w:rsidP="000A3E04">
      <w:pPr>
        <w:pStyle w:val="af5"/>
        <w:numPr>
          <w:ilvl w:val="0"/>
          <w:numId w:val="49"/>
        </w:numPr>
        <w:spacing w:before="120"/>
        <w:ind w:left="690" w:hanging="240"/>
        <w:rPr>
          <w:rFonts w:ascii="宋体" w:eastAsia="宋体" w:hAnsi="Times New Roman"/>
          <w:color w:val="000000"/>
        </w:rPr>
      </w:pPr>
      <w:r w:rsidRPr="000A3E04">
        <w:rPr>
          <w:rFonts w:ascii="宋体" w:eastAsia="宋体" w:hAnsi="Times New Roman"/>
          <w:color w:val="000000"/>
        </w:rPr>
        <w:t xml:space="preserve">《金融危机背景下银行不良债权转让的金融法思考》 </w:t>
      </w:r>
    </w:p>
    <w:p w14:paraId="4497016B" w14:textId="77777777" w:rsidR="000A3E04" w:rsidRDefault="000A3E04" w:rsidP="000A3E04">
      <w:pPr>
        <w:pStyle w:val="af5"/>
        <w:numPr>
          <w:ilvl w:val="0"/>
          <w:numId w:val="50"/>
        </w:numPr>
        <w:spacing w:before="120"/>
        <w:ind w:left="690" w:hanging="240"/>
        <w:rPr>
          <w:rFonts w:ascii="宋体" w:eastAsia="宋体" w:hAnsi="Times New Roman"/>
          <w:color w:val="000000"/>
        </w:rPr>
      </w:pPr>
      <w:r w:rsidRPr="000A3E04">
        <w:rPr>
          <w:rFonts w:ascii="宋体" w:eastAsia="宋体" w:hAnsi="Times New Roman"/>
          <w:color w:val="000000"/>
        </w:rPr>
        <w:t xml:space="preserve">《银行信贷业务中的利息法律实务问题研究》 </w:t>
      </w:r>
    </w:p>
    <w:p w14:paraId="5894B13C" w14:textId="77777777" w:rsidR="000A3E04" w:rsidRDefault="000A3E04" w:rsidP="000A3E04">
      <w:pPr>
        <w:pStyle w:val="af5"/>
        <w:numPr>
          <w:ilvl w:val="0"/>
          <w:numId w:val="51"/>
        </w:numPr>
        <w:spacing w:before="120"/>
        <w:ind w:left="690" w:hanging="240"/>
        <w:rPr>
          <w:rFonts w:ascii="宋体" w:eastAsia="宋体" w:hAnsi="Times New Roman"/>
          <w:color w:val="000000"/>
        </w:rPr>
      </w:pPr>
      <w:r w:rsidRPr="000A3E04">
        <w:rPr>
          <w:rFonts w:ascii="宋体" w:eastAsia="宋体" w:hAnsi="Times New Roman"/>
          <w:color w:val="000000"/>
        </w:rPr>
        <w:t xml:space="preserve">《涉港融资租赁合同法律关系的认定与处理》 </w:t>
      </w:r>
    </w:p>
    <w:p w14:paraId="0117DED0" w14:textId="77777777" w:rsidR="000A3E04" w:rsidRDefault="000A3E04" w:rsidP="000A3E04">
      <w:pPr>
        <w:pStyle w:val="af5"/>
        <w:numPr>
          <w:ilvl w:val="0"/>
          <w:numId w:val="52"/>
        </w:numPr>
        <w:spacing w:before="120"/>
        <w:ind w:left="690" w:hanging="240"/>
        <w:rPr>
          <w:rFonts w:ascii="宋体" w:eastAsia="宋体" w:hAnsi="Times New Roman"/>
          <w:color w:val="000000"/>
        </w:rPr>
      </w:pPr>
      <w:r w:rsidRPr="000A3E04">
        <w:rPr>
          <w:rFonts w:ascii="宋体" w:eastAsia="宋体" w:hAnsi="Times New Roman"/>
          <w:color w:val="000000"/>
        </w:rPr>
        <w:t xml:space="preserve">《股权转让未经登记时股权受让人的权利救济》 </w:t>
      </w:r>
    </w:p>
    <w:p w14:paraId="6B199FB0" w14:textId="77777777" w:rsidR="000A3E04" w:rsidRDefault="000A3E04" w:rsidP="000A3E04">
      <w:pPr>
        <w:pStyle w:val="af5"/>
        <w:numPr>
          <w:ilvl w:val="0"/>
          <w:numId w:val="53"/>
        </w:numPr>
        <w:spacing w:before="120"/>
        <w:ind w:left="690" w:hanging="240"/>
        <w:rPr>
          <w:rFonts w:ascii="宋体" w:eastAsia="宋体" w:hAnsi="Times New Roman"/>
          <w:color w:val="000000"/>
        </w:rPr>
      </w:pPr>
      <w:r w:rsidRPr="000A3E04">
        <w:rPr>
          <w:rFonts w:ascii="宋体" w:eastAsia="宋体" w:hAnsi="Times New Roman"/>
          <w:color w:val="000000"/>
        </w:rPr>
        <w:t xml:space="preserve">《公司解散清算向破产清算转换中的法律问题》 </w:t>
      </w:r>
    </w:p>
    <w:p w14:paraId="1318088E" w14:textId="77777777" w:rsidR="000A3E04" w:rsidRDefault="000A3E04" w:rsidP="000A3E04">
      <w:pPr>
        <w:pStyle w:val="af5"/>
        <w:numPr>
          <w:ilvl w:val="0"/>
          <w:numId w:val="54"/>
        </w:numPr>
        <w:spacing w:before="120"/>
        <w:ind w:left="690" w:hanging="240"/>
        <w:rPr>
          <w:rFonts w:ascii="宋体" w:eastAsia="宋体" w:hAnsi="Times New Roman"/>
          <w:color w:val="000000"/>
        </w:rPr>
      </w:pPr>
      <w:r w:rsidRPr="000A3E04">
        <w:rPr>
          <w:rFonts w:ascii="宋体" w:eastAsia="宋体" w:hAnsi="Times New Roman"/>
          <w:color w:val="000000"/>
        </w:rPr>
        <w:t xml:space="preserve">《劳动者对用人单位提前解散决议的异议权利》 </w:t>
      </w:r>
    </w:p>
    <w:p w14:paraId="4F0A196B" w14:textId="36DCBE10" w:rsidR="00A46A04" w:rsidRPr="000A3E04" w:rsidRDefault="000A3E04" w:rsidP="000A3E04">
      <w:pPr>
        <w:pStyle w:val="af5"/>
        <w:numPr>
          <w:ilvl w:val="0"/>
          <w:numId w:val="55"/>
        </w:numPr>
        <w:spacing w:before="120"/>
        <w:ind w:left="690" w:hanging="240"/>
        <w:rPr>
          <w:rFonts w:ascii="宋体" w:eastAsia="宋体" w:hAnsi="Times New Roman"/>
          <w:color w:val="000000"/>
        </w:rPr>
      </w:pPr>
      <w:r w:rsidRPr="000A3E04">
        <w:rPr>
          <w:rFonts w:ascii="宋体" w:eastAsia="宋体" w:hAnsi="Times New Roman"/>
          <w:color w:val="000000"/>
        </w:rPr>
        <w:t xml:space="preserve">《劳动者在合同履行期间要求集体协商的程序权利保障》 </w:t>
      </w:r>
    </w:p>
    <w:sectPr w:rsidR="00A46A04" w:rsidRPr="000A3E0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B0FA9"/>
    <w:multiLevelType w:val="singleLevel"/>
    <w:tmpl w:val="A11C38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560D51"/>
    <w:multiLevelType w:val="singleLevel"/>
    <w:tmpl w:val="E9E801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9E6DA2"/>
    <w:multiLevelType w:val="singleLevel"/>
    <w:tmpl w:val="62AA67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345148"/>
    <w:multiLevelType w:val="singleLevel"/>
    <w:tmpl w:val="4E74432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5229AE"/>
    <w:multiLevelType w:val="singleLevel"/>
    <w:tmpl w:val="2B5A6B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6A3FA3"/>
    <w:multiLevelType w:val="singleLevel"/>
    <w:tmpl w:val="536CA5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B26C8E"/>
    <w:multiLevelType w:val="singleLevel"/>
    <w:tmpl w:val="46EC45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6E12E3"/>
    <w:multiLevelType w:val="singleLevel"/>
    <w:tmpl w:val="B46C09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0638A4"/>
    <w:multiLevelType w:val="singleLevel"/>
    <w:tmpl w:val="016CD6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0551EA"/>
    <w:multiLevelType w:val="singleLevel"/>
    <w:tmpl w:val="F6C214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3D77E7"/>
    <w:multiLevelType w:val="singleLevel"/>
    <w:tmpl w:val="7060B6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387D2D"/>
    <w:multiLevelType w:val="singleLevel"/>
    <w:tmpl w:val="237EE6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AD76D6"/>
    <w:multiLevelType w:val="singleLevel"/>
    <w:tmpl w:val="EB1050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96655B"/>
    <w:multiLevelType w:val="singleLevel"/>
    <w:tmpl w:val="BD24B36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3C68BB"/>
    <w:multiLevelType w:val="singleLevel"/>
    <w:tmpl w:val="8E54C0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807B85"/>
    <w:multiLevelType w:val="singleLevel"/>
    <w:tmpl w:val="3DF671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F26F00"/>
    <w:multiLevelType w:val="singleLevel"/>
    <w:tmpl w:val="659C86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B3140D"/>
    <w:multiLevelType w:val="singleLevel"/>
    <w:tmpl w:val="06BCBE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DA76A3"/>
    <w:multiLevelType w:val="singleLevel"/>
    <w:tmpl w:val="021643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E40493"/>
    <w:multiLevelType w:val="singleLevel"/>
    <w:tmpl w:val="C3BEE8D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5507DA"/>
    <w:multiLevelType w:val="singleLevel"/>
    <w:tmpl w:val="06622D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5B0895"/>
    <w:multiLevelType w:val="singleLevel"/>
    <w:tmpl w:val="6DE6B3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1731B1"/>
    <w:multiLevelType w:val="singleLevel"/>
    <w:tmpl w:val="779296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6A6A06"/>
    <w:multiLevelType w:val="singleLevel"/>
    <w:tmpl w:val="475AAF0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330A24"/>
    <w:multiLevelType w:val="singleLevel"/>
    <w:tmpl w:val="B1AE07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953A59"/>
    <w:multiLevelType w:val="singleLevel"/>
    <w:tmpl w:val="6A406F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AA44B8"/>
    <w:multiLevelType w:val="singleLevel"/>
    <w:tmpl w:val="17CC72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FA4B0E"/>
    <w:multiLevelType w:val="singleLevel"/>
    <w:tmpl w:val="97F87D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197A92"/>
    <w:multiLevelType w:val="singleLevel"/>
    <w:tmpl w:val="6FD8143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AF34F6"/>
    <w:multiLevelType w:val="singleLevel"/>
    <w:tmpl w:val="8C9E24C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58081A"/>
    <w:multiLevelType w:val="singleLevel"/>
    <w:tmpl w:val="3A4032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67088B"/>
    <w:multiLevelType w:val="singleLevel"/>
    <w:tmpl w:val="3222C83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7B2CE1"/>
    <w:multiLevelType w:val="singleLevel"/>
    <w:tmpl w:val="1776549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286E00"/>
    <w:multiLevelType w:val="singleLevel"/>
    <w:tmpl w:val="266C6F3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5101E0"/>
    <w:multiLevelType w:val="singleLevel"/>
    <w:tmpl w:val="CE6454F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9925B5"/>
    <w:multiLevelType w:val="singleLevel"/>
    <w:tmpl w:val="EC6A42C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DA16B9E"/>
    <w:multiLevelType w:val="singleLevel"/>
    <w:tmpl w:val="B0BA7BF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1201031"/>
    <w:multiLevelType w:val="singleLevel"/>
    <w:tmpl w:val="6C90406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A73271"/>
    <w:multiLevelType w:val="singleLevel"/>
    <w:tmpl w:val="511052E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82564A"/>
    <w:multiLevelType w:val="singleLevel"/>
    <w:tmpl w:val="6FCA1E4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D4539E"/>
    <w:multiLevelType w:val="singleLevel"/>
    <w:tmpl w:val="8F2CFB9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A41324"/>
    <w:multiLevelType w:val="singleLevel"/>
    <w:tmpl w:val="9AE6F9B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BA7B3D"/>
    <w:multiLevelType w:val="singleLevel"/>
    <w:tmpl w:val="AC08195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BD478E"/>
    <w:multiLevelType w:val="singleLevel"/>
    <w:tmpl w:val="75A6D0D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FF1BA4"/>
    <w:multiLevelType w:val="singleLevel"/>
    <w:tmpl w:val="9AE6F9B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CF38A0"/>
    <w:multiLevelType w:val="singleLevel"/>
    <w:tmpl w:val="BF8E1E6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1B2CAC"/>
    <w:multiLevelType w:val="singleLevel"/>
    <w:tmpl w:val="E3E8DED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281944"/>
    <w:multiLevelType w:val="singleLevel"/>
    <w:tmpl w:val="42701C1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77E73E7"/>
    <w:multiLevelType w:val="singleLevel"/>
    <w:tmpl w:val="1B70E71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3929AF"/>
    <w:multiLevelType w:val="singleLevel"/>
    <w:tmpl w:val="DBB8CFF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A9877B5"/>
    <w:multiLevelType w:val="singleLevel"/>
    <w:tmpl w:val="45CC21E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6E6763"/>
    <w:multiLevelType w:val="singleLevel"/>
    <w:tmpl w:val="4B8E0D9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D143916"/>
    <w:multiLevelType w:val="singleLevel"/>
    <w:tmpl w:val="B93E08A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D7379E0"/>
    <w:multiLevelType w:val="singleLevel"/>
    <w:tmpl w:val="6250ED9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DFD16D5"/>
    <w:multiLevelType w:val="singleLevel"/>
    <w:tmpl w:val="5B322958"/>
    <w:lvl w:ilvl="0">
      <w:start w:val="1"/>
      <w:numFmt w:val="bullet"/>
      <w:lvlText w:val=""/>
      <w:lvlJc w:val="left"/>
      <w:pPr>
        <w:tabs>
          <w:tab w:val="num" w:pos="200"/>
        </w:tabs>
        <w:ind w:left="200" w:hanging="200"/>
      </w:pPr>
      <w:rPr>
        <w:rFonts w:ascii="Wingdings" w:hAnsi="Wingdings" w:hint="default"/>
        <w:sz w:val="16"/>
      </w:rPr>
    </w:lvl>
  </w:abstractNum>
  <w:num w:numId="1">
    <w:abstractNumId w:val="30"/>
  </w:num>
  <w:num w:numId="2">
    <w:abstractNumId w:val="1"/>
  </w:num>
  <w:num w:numId="3">
    <w:abstractNumId w:val="29"/>
  </w:num>
  <w:num w:numId="4">
    <w:abstractNumId w:val="42"/>
  </w:num>
  <w:num w:numId="5">
    <w:abstractNumId w:val="22"/>
  </w:num>
  <w:num w:numId="6">
    <w:abstractNumId w:val="52"/>
  </w:num>
  <w:num w:numId="7">
    <w:abstractNumId w:val="6"/>
  </w:num>
  <w:num w:numId="8">
    <w:abstractNumId w:val="25"/>
  </w:num>
  <w:num w:numId="9">
    <w:abstractNumId w:val="33"/>
  </w:num>
  <w:num w:numId="10">
    <w:abstractNumId w:val="46"/>
  </w:num>
  <w:num w:numId="11">
    <w:abstractNumId w:val="24"/>
  </w:num>
  <w:num w:numId="12">
    <w:abstractNumId w:val="27"/>
  </w:num>
  <w:num w:numId="13">
    <w:abstractNumId w:val="9"/>
  </w:num>
  <w:num w:numId="14">
    <w:abstractNumId w:val="2"/>
  </w:num>
  <w:num w:numId="15">
    <w:abstractNumId w:val="45"/>
  </w:num>
  <w:num w:numId="16">
    <w:abstractNumId w:val="20"/>
  </w:num>
  <w:num w:numId="17">
    <w:abstractNumId w:val="50"/>
  </w:num>
  <w:num w:numId="18">
    <w:abstractNumId w:val="15"/>
  </w:num>
  <w:num w:numId="19">
    <w:abstractNumId w:val="14"/>
  </w:num>
  <w:num w:numId="20">
    <w:abstractNumId w:val="21"/>
  </w:num>
  <w:num w:numId="21">
    <w:abstractNumId w:val="3"/>
  </w:num>
  <w:num w:numId="22">
    <w:abstractNumId w:val="39"/>
  </w:num>
  <w:num w:numId="23">
    <w:abstractNumId w:val="10"/>
  </w:num>
  <w:num w:numId="24">
    <w:abstractNumId w:val="16"/>
  </w:num>
  <w:num w:numId="25">
    <w:abstractNumId w:val="53"/>
  </w:num>
  <w:num w:numId="26">
    <w:abstractNumId w:val="43"/>
  </w:num>
  <w:num w:numId="27">
    <w:abstractNumId w:val="0"/>
  </w:num>
  <w:num w:numId="28">
    <w:abstractNumId w:val="17"/>
  </w:num>
  <w:num w:numId="29">
    <w:abstractNumId w:val="32"/>
  </w:num>
  <w:num w:numId="30">
    <w:abstractNumId w:val="34"/>
  </w:num>
  <w:num w:numId="31">
    <w:abstractNumId w:val="7"/>
  </w:num>
  <w:num w:numId="32">
    <w:abstractNumId w:val="4"/>
  </w:num>
  <w:num w:numId="33">
    <w:abstractNumId w:val="47"/>
  </w:num>
  <w:num w:numId="34">
    <w:abstractNumId w:val="13"/>
  </w:num>
  <w:num w:numId="35">
    <w:abstractNumId w:val="37"/>
  </w:num>
  <w:num w:numId="36">
    <w:abstractNumId w:val="8"/>
  </w:num>
  <w:num w:numId="37">
    <w:abstractNumId w:val="11"/>
  </w:num>
  <w:num w:numId="38">
    <w:abstractNumId w:val="12"/>
  </w:num>
  <w:num w:numId="39">
    <w:abstractNumId w:val="54"/>
  </w:num>
  <w:num w:numId="40">
    <w:abstractNumId w:val="23"/>
  </w:num>
  <w:num w:numId="41">
    <w:abstractNumId w:val="49"/>
  </w:num>
  <w:num w:numId="42">
    <w:abstractNumId w:val="5"/>
  </w:num>
  <w:num w:numId="43">
    <w:abstractNumId w:val="26"/>
  </w:num>
  <w:num w:numId="44">
    <w:abstractNumId w:val="18"/>
  </w:num>
  <w:num w:numId="45">
    <w:abstractNumId w:val="40"/>
  </w:num>
  <w:num w:numId="46">
    <w:abstractNumId w:val="51"/>
  </w:num>
  <w:num w:numId="47">
    <w:abstractNumId w:val="35"/>
  </w:num>
  <w:num w:numId="48">
    <w:abstractNumId w:val="31"/>
  </w:num>
  <w:num w:numId="49">
    <w:abstractNumId w:val="19"/>
  </w:num>
  <w:num w:numId="50">
    <w:abstractNumId w:val="28"/>
  </w:num>
  <w:num w:numId="51">
    <w:abstractNumId w:val="36"/>
  </w:num>
  <w:num w:numId="52">
    <w:abstractNumId w:val="48"/>
  </w:num>
  <w:num w:numId="53">
    <w:abstractNumId w:val="38"/>
  </w:num>
  <w:num w:numId="54">
    <w:abstractNumId w:val="41"/>
  </w:num>
  <w:num w:numId="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A3E04"/>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A3E04"/>
    <w:pPr>
      <w:spacing w:after="120"/>
    </w:pPr>
  </w:style>
  <w:style w:type="character" w:customStyle="1" w:styleId="af6">
    <w:name w:val="正文文本 字符"/>
    <w:basedOn w:val="a0"/>
    <w:link w:val="af5"/>
    <w:uiPriority w:val="99"/>
    <w:rsid w:val="000A3E0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1645C-A9F4-4363-B66A-BD758A977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454</Words>
  <Characters>2592</Characters>
  <Application>Microsoft Office Word</Application>
  <DocSecurity>0</DocSecurity>
  <Lines>21</Lines>
  <Paragraphs>6</Paragraphs>
  <ScaleCrop>false</ScaleCrop>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2026-11-06T20:37:00Z</dcterms:created>
  <dcterms:modified xsi:type="dcterms:W3CDTF">2026-11-06T20:37:00Z</dcterms:modified>
</cp:coreProperties>
</file>