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2A9D87A" w:rsidR="0049405C" w:rsidRPr="00C24D79" w:rsidRDefault="00A93CE5" w:rsidP="00A93CE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93CE5">
              <w:rPr>
                <w:rFonts w:ascii="等线" w:eastAsia="等线" w:hAnsi="Times New Roman"/>
                <w:b/>
                <w:color w:val="000000"/>
                <w:sz w:val="48"/>
              </w:rPr>
              <w:t>CHRISTIAN PENG</w:t>
            </w:r>
            <w:bookmarkEnd w:id="0"/>
          </w:p>
          <w:p w14:paraId="706EB16B" w14:textId="18E27453" w:rsidR="0049405C" w:rsidRPr="00C24D79" w:rsidRDefault="00A93CE5" w:rsidP="00A93CE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93CE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93CE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93CE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29549E0" w:rsidR="0049405C" w:rsidRPr="00C24D79" w:rsidRDefault="00A93CE5" w:rsidP="00A93CE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93CE5">
              <w:rPr>
                <w:rFonts w:ascii="等线" w:eastAsia="等线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743FF947" w:rsidR="0049405C" w:rsidRPr="00C24D79" w:rsidRDefault="00A93CE5" w:rsidP="00A93CE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93CE5">
              <w:rPr>
                <w:rFonts w:ascii="等线" w:eastAsia="等线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F81AD15" w:rsidR="0049405C" w:rsidRPr="00C24D79" w:rsidRDefault="00A93CE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CD9C224" wp14:editId="4D2AFDF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54B1001" w:rsidR="009465FB" w:rsidRPr="00C24D79" w:rsidRDefault="00A93CE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93CE5">
              <w:rPr>
                <w:rFonts w:ascii="等线" w:eastAsia="等线" w:hAnsi="Times New Roman"/>
                <w:color w:val="000000"/>
                <w:szCs w:val="21"/>
              </w:rPr>
              <w:t>MR. PENG SPECIALIZES IN M&amp;A, PRIVATE EQUITY INVESTMENT, FOREIGN DIRECT INVESTMENT, OUTBOUND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F45A824" w14:textId="77777777" w:rsidR="00A93CE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2055C25" w14:textId="77777777" w:rsidR="00A93CE5" w:rsidRDefault="00A93CE5" w:rsidP="00A93C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3CE5">
        <w:rPr>
          <w:rFonts w:ascii="等线" w:eastAsia="等线" w:hAnsi="等线"/>
          <w:b/>
          <w:sz w:val="24"/>
        </w:rPr>
        <w:t>REPRESENTATIVE MATTERS AND CASES</w:t>
      </w:r>
    </w:p>
    <w:p w14:paraId="50AB066E" w14:textId="77777777" w:rsidR="00A93CE5" w:rsidRDefault="00A93CE5" w:rsidP="00A93CE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E1D372A" w14:textId="77777777" w:rsidR="00A93CE5" w:rsidRDefault="00A93CE5" w:rsidP="00A93CE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Anta, FountainVest and other co-investors in their tender offer acquisition of Amer Sports for EUR 4.6 billion (Outbound Bound Deal of Year 2018, China Law &amp; Practice)</w:t>
      </w:r>
    </w:p>
    <w:p w14:paraId="2C4331BF" w14:textId="77777777" w:rsidR="00A93CE5" w:rsidRDefault="00A93CE5" w:rsidP="00A93CE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Weichai Power in its acquisition of 25% shares in KION GmbH and 70% equity interest in Kion</w:t>
      </w:r>
      <w:r w:rsidRPr="00A93CE5">
        <w:rPr>
          <w:rFonts w:ascii="等线" w:eastAsia="等线" w:hAnsi="Times New Roman"/>
          <w:color w:val="000000"/>
        </w:rPr>
        <w:t>’</w:t>
      </w:r>
      <w:r w:rsidRPr="00A93CE5">
        <w:rPr>
          <w:rFonts w:ascii="等线" w:eastAsia="等线" w:hAnsi="Times New Roman"/>
          <w:color w:val="000000"/>
        </w:rPr>
        <w:t>s subsidiary, Linde Hydraulics, for USD 750 million (Outbound Bound Deal of Year 2012, China Law &amp; Practice)</w:t>
      </w:r>
    </w:p>
    <w:p w14:paraId="146AC3A9" w14:textId="77777777" w:rsidR="00A93CE5" w:rsidRDefault="00A93CE5" w:rsidP="00A93CE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Zoomlion in its sale of Zoomlion Environment to a consortium for RMB 1.16 billion</w:t>
      </w:r>
    </w:p>
    <w:p w14:paraId="1E283399" w14:textId="77777777" w:rsidR="00A93CE5" w:rsidRDefault="00A93CE5" w:rsidP="00A93CE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Fosun Pharma in its privatization and delisting of Chindex (the holding entity for United Family Hospital) from the NASDAQ</w:t>
      </w:r>
    </w:p>
    <w:p w14:paraId="6EAAAC85" w14:textId="77777777" w:rsidR="00A93CE5" w:rsidRDefault="00A93CE5" w:rsidP="00A93CE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ByteDance in its acquisition of a music company</w:t>
      </w:r>
    </w:p>
    <w:p w14:paraId="6CB52FE2" w14:textId="77777777" w:rsidR="00A93CE5" w:rsidRDefault="00A93CE5" w:rsidP="00A93CE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Baring Asia and CITIC PE in its acquisition of 100% shares in Wall Street English for USD 300 million</w:t>
      </w:r>
    </w:p>
    <w:p w14:paraId="454B8679" w14:textId="77777777" w:rsidR="00A93CE5" w:rsidRDefault="00A93CE5" w:rsidP="00A93CE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Warburg Pincus in its equity investment into Ant Finance</w:t>
      </w:r>
    </w:p>
    <w:p w14:paraId="3F76BDF7" w14:textId="77777777" w:rsidR="00A93CE5" w:rsidRDefault="00A93CE5" w:rsidP="00A93CE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CITIC PE in its acquisition of equity interest in ByteDance</w:t>
      </w:r>
    </w:p>
    <w:p w14:paraId="25A2D80B" w14:textId="77777777" w:rsidR="00A93CE5" w:rsidRDefault="00A93CE5" w:rsidP="00A93CE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Warburg Pincus and other investors in its sale of stocks in AANG (HK.2686) through a tender offer</w:t>
      </w:r>
    </w:p>
    <w:p w14:paraId="0A0A268A" w14:textId="77777777" w:rsidR="00A93CE5" w:rsidRDefault="00A93CE5" w:rsidP="00A93CE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Fosun Pharma in forming a consortium with other investors to acquire 100% shares of a leading pharmaceuticals company, Ambrx Inc. for USD 180 million</w:t>
      </w:r>
    </w:p>
    <w:p w14:paraId="57AD5727" w14:textId="77777777" w:rsidR="00A93CE5" w:rsidRDefault="00A93CE5" w:rsidP="00A93CE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Zoomlion and Mandarin Capital in their acquisition of 75% shares of Ladurner</w:t>
      </w:r>
    </w:p>
    <w:p w14:paraId="5A5C7D06" w14:textId="77777777" w:rsidR="00A93CE5" w:rsidRDefault="00A93CE5" w:rsidP="00A93CE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Shandong Heavy Industry Group in its acquisition of 75% shares of Italian luxury yacht manufacture Feretti S.p.A. for EUR 374 million</w:t>
      </w:r>
    </w:p>
    <w:p w14:paraId="3D5E19D2" w14:textId="77777777" w:rsidR="00A93CE5" w:rsidRDefault="00A93CE5" w:rsidP="00A93CE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Guohua Energy Investment Co. in its acquisition of 75% shares of Musselroe Wind Farm in Australia</w:t>
      </w:r>
    </w:p>
    <w:p w14:paraId="720FC1B0" w14:textId="77777777" w:rsidR="00A93CE5" w:rsidRDefault="00A93CE5" w:rsidP="00A93CE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CVC Capital Partners in its acquisition of majority stake in South Beauty, a prominent full-service restaurant in China</w:t>
      </w:r>
    </w:p>
    <w:p w14:paraId="5E4FE3CA" w14:textId="77777777" w:rsidR="00A93CE5" w:rsidRDefault="00A93CE5" w:rsidP="00A93CE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Veolia in its acquisition of a biomass power station</w:t>
      </w:r>
    </w:p>
    <w:p w14:paraId="48EF4902" w14:textId="77777777" w:rsidR="00A93CE5" w:rsidRDefault="00A93CE5" w:rsidP="00A93CE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Daimler AG on its pre-IPO investment for a 12% stake in BAIC Motor for RMB 5.13 billion</w:t>
      </w:r>
    </w:p>
    <w:p w14:paraId="14BD6C19" w14:textId="77777777" w:rsidR="00A93CE5" w:rsidRDefault="00A93CE5" w:rsidP="00A93CE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Nissan in the divesture of a commercial vehicle business from Dongfeng-Nissan</w:t>
      </w:r>
    </w:p>
    <w:p w14:paraId="1D1FDDDA" w14:textId="77777777" w:rsidR="00A93CE5" w:rsidRDefault="00A93CE5" w:rsidP="00A93CE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Qingdao Haier (SH.600690) in its issuance of 10% shares to KKR as a strategic partner through PIPE</w:t>
      </w:r>
    </w:p>
    <w:p w14:paraId="305F1B47" w14:textId="77777777" w:rsidR="00A93CE5" w:rsidRDefault="00A93CE5" w:rsidP="00A93CE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Alibaba in its acquisition of a video game company</w:t>
      </w:r>
    </w:p>
    <w:p w14:paraId="45B6FE61" w14:textId="77777777" w:rsidR="00A93CE5" w:rsidRDefault="00A93CE5" w:rsidP="00A93CE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Boyu Capital in its equity investment into a top-tier liquor enterprise</w:t>
      </w:r>
    </w:p>
    <w:p w14:paraId="1CB47F9E" w14:textId="77777777" w:rsidR="00A93CE5" w:rsidRDefault="00A93CE5" w:rsidP="00A93CE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Represented Yunfeng Capital in its investments into startup companies</w:t>
      </w:r>
    </w:p>
    <w:p w14:paraId="4BF0DBC9" w14:textId="77777777" w:rsidR="00A93CE5" w:rsidRDefault="00A93CE5" w:rsidP="00A93C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3CE5">
        <w:rPr>
          <w:rFonts w:ascii="等线" w:eastAsia="等线" w:hAnsi="等线"/>
          <w:b/>
          <w:sz w:val="24"/>
        </w:rPr>
        <w:t>Education</w:t>
      </w:r>
    </w:p>
    <w:p w14:paraId="384FA53A" w14:textId="77777777" w:rsidR="00A93CE5" w:rsidRDefault="00A93CE5" w:rsidP="00A93CE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Peking University School of Law, LL.B, 2010</w:t>
      </w:r>
    </w:p>
    <w:p w14:paraId="32703B04" w14:textId="77777777" w:rsidR="00A93CE5" w:rsidRDefault="00A93CE5" w:rsidP="00A93CE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Peking University China Center for Economic Research, Bachelor of Economics, 2010</w:t>
      </w:r>
    </w:p>
    <w:p w14:paraId="75789707" w14:textId="77777777" w:rsidR="00A93CE5" w:rsidRDefault="00A93CE5" w:rsidP="00A93CE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University of California, Berkeley, LL.M, 2011</w:t>
      </w:r>
    </w:p>
    <w:p w14:paraId="294182FD" w14:textId="77777777" w:rsidR="00A93CE5" w:rsidRDefault="00A93CE5" w:rsidP="00A93C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3CE5">
        <w:rPr>
          <w:rFonts w:ascii="等线" w:eastAsia="等线" w:hAnsi="等线"/>
          <w:b/>
          <w:sz w:val="24"/>
        </w:rPr>
        <w:t>Professional Qualification</w:t>
      </w:r>
    </w:p>
    <w:p w14:paraId="197695EC" w14:textId="77777777" w:rsidR="00A93CE5" w:rsidRDefault="00A93CE5" w:rsidP="00A93CE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Admitted to practice in the PRC and New York</w:t>
      </w:r>
    </w:p>
    <w:p w14:paraId="5C08E2ED" w14:textId="77777777" w:rsidR="00A93CE5" w:rsidRDefault="00A93CE5" w:rsidP="00A93CE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3CE5">
        <w:rPr>
          <w:rFonts w:ascii="等线" w:eastAsia="等线" w:hAnsi="等线"/>
          <w:b/>
          <w:sz w:val="24"/>
        </w:rPr>
        <w:t>Professional Background</w:t>
      </w:r>
    </w:p>
    <w:p w14:paraId="5567FC3C" w14:textId="5BF67876" w:rsidR="00686369" w:rsidRPr="00A93CE5" w:rsidRDefault="00A93CE5" w:rsidP="00A93CE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CE5">
        <w:rPr>
          <w:rFonts w:ascii="等线" w:eastAsia="等线" w:hAnsi="Times New Roman"/>
          <w:color w:val="000000"/>
        </w:rPr>
        <w:t>Mr. Peng joined Fangda in 2015. Before joining the firm, he worked at another leading PRC law firm as an associate for three years and at a leading investment firm as legal director. He has been awarded as a top young lawyer (30 under 30) by LegalBand.</w:t>
      </w:r>
    </w:p>
    <w:sectPr w:rsidR="00686369" w:rsidRPr="00A93CE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7927"/>
    <w:multiLevelType w:val="singleLevel"/>
    <w:tmpl w:val="07546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093E24"/>
    <w:multiLevelType w:val="singleLevel"/>
    <w:tmpl w:val="3C388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F85141"/>
    <w:multiLevelType w:val="singleLevel"/>
    <w:tmpl w:val="86307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715B31"/>
    <w:multiLevelType w:val="singleLevel"/>
    <w:tmpl w:val="033A0E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721EAA"/>
    <w:multiLevelType w:val="singleLevel"/>
    <w:tmpl w:val="C8EE0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FD532DE"/>
    <w:multiLevelType w:val="singleLevel"/>
    <w:tmpl w:val="64382B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5CA4A22"/>
    <w:multiLevelType w:val="singleLevel"/>
    <w:tmpl w:val="B36CD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9441A3D"/>
    <w:multiLevelType w:val="singleLevel"/>
    <w:tmpl w:val="21BC8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DE325D"/>
    <w:multiLevelType w:val="singleLevel"/>
    <w:tmpl w:val="30B4C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3D7B99"/>
    <w:multiLevelType w:val="singleLevel"/>
    <w:tmpl w:val="45F63F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DB61DAE"/>
    <w:multiLevelType w:val="singleLevel"/>
    <w:tmpl w:val="86247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F7D61DA"/>
    <w:multiLevelType w:val="singleLevel"/>
    <w:tmpl w:val="8F5A1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B96416"/>
    <w:multiLevelType w:val="singleLevel"/>
    <w:tmpl w:val="65F27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7EC7A27"/>
    <w:multiLevelType w:val="singleLevel"/>
    <w:tmpl w:val="E116B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0C0F48"/>
    <w:multiLevelType w:val="singleLevel"/>
    <w:tmpl w:val="DCB25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0E0C08"/>
    <w:multiLevelType w:val="singleLevel"/>
    <w:tmpl w:val="E506B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140FE0"/>
    <w:multiLevelType w:val="singleLevel"/>
    <w:tmpl w:val="B81E0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C4E62AD"/>
    <w:multiLevelType w:val="singleLevel"/>
    <w:tmpl w:val="93627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FF77DC"/>
    <w:multiLevelType w:val="singleLevel"/>
    <w:tmpl w:val="53CC2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960333"/>
    <w:multiLevelType w:val="singleLevel"/>
    <w:tmpl w:val="32EE6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E406DB"/>
    <w:multiLevelType w:val="singleLevel"/>
    <w:tmpl w:val="7910C7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591470"/>
    <w:multiLevelType w:val="singleLevel"/>
    <w:tmpl w:val="0EBED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9523C9"/>
    <w:multiLevelType w:val="singleLevel"/>
    <w:tmpl w:val="FF562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953053"/>
    <w:multiLevelType w:val="singleLevel"/>
    <w:tmpl w:val="F5DA5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4FE1486"/>
    <w:multiLevelType w:val="singleLevel"/>
    <w:tmpl w:val="C7A0E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89C4F9A"/>
    <w:multiLevelType w:val="singleLevel"/>
    <w:tmpl w:val="7DB05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E0C6917"/>
    <w:multiLevelType w:val="singleLevel"/>
    <w:tmpl w:val="32EE6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10"/>
  </w:num>
  <w:num w:numId="3">
    <w:abstractNumId w:val="22"/>
  </w:num>
  <w:num w:numId="4">
    <w:abstractNumId w:val="16"/>
  </w:num>
  <w:num w:numId="5">
    <w:abstractNumId w:val="23"/>
  </w:num>
  <w:num w:numId="6">
    <w:abstractNumId w:val="17"/>
  </w:num>
  <w:num w:numId="7">
    <w:abstractNumId w:val="20"/>
  </w:num>
  <w:num w:numId="8">
    <w:abstractNumId w:val="8"/>
  </w:num>
  <w:num w:numId="9">
    <w:abstractNumId w:val="1"/>
  </w:num>
  <w:num w:numId="10">
    <w:abstractNumId w:val="14"/>
  </w:num>
  <w:num w:numId="11">
    <w:abstractNumId w:val="26"/>
  </w:num>
  <w:num w:numId="12">
    <w:abstractNumId w:val="0"/>
  </w:num>
  <w:num w:numId="13">
    <w:abstractNumId w:val="11"/>
  </w:num>
  <w:num w:numId="14">
    <w:abstractNumId w:val="15"/>
  </w:num>
  <w:num w:numId="15">
    <w:abstractNumId w:val="25"/>
  </w:num>
  <w:num w:numId="16">
    <w:abstractNumId w:val="7"/>
  </w:num>
  <w:num w:numId="17">
    <w:abstractNumId w:val="24"/>
  </w:num>
  <w:num w:numId="18">
    <w:abstractNumId w:val="19"/>
  </w:num>
  <w:num w:numId="19">
    <w:abstractNumId w:val="13"/>
  </w:num>
  <w:num w:numId="20">
    <w:abstractNumId w:val="9"/>
  </w:num>
  <w:num w:numId="21">
    <w:abstractNumId w:val="3"/>
  </w:num>
  <w:num w:numId="22">
    <w:abstractNumId w:val="2"/>
  </w:num>
  <w:num w:numId="23">
    <w:abstractNumId w:val="18"/>
  </w:num>
  <w:num w:numId="24">
    <w:abstractNumId w:val="6"/>
  </w:num>
  <w:num w:numId="25">
    <w:abstractNumId w:val="27"/>
  </w:num>
  <w:num w:numId="26">
    <w:abstractNumId w:val="4"/>
  </w:num>
  <w:num w:numId="27">
    <w:abstractNumId w:val="12"/>
  </w:num>
  <w:num w:numId="28">
    <w:abstractNumId w:val="28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93CE5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93CE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93CE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F18A54-92F4-43A9-B4D1-0D0BF615B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2026-07-16T12:03:00Z</dcterms:created>
  <dcterms:modified xsi:type="dcterms:W3CDTF">2026-07-16T12:03:00Z</dcterms:modified>
</cp:coreProperties>
</file>