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3E59A8" w:rsidR="0049405C" w:rsidRPr="00C24D79" w:rsidRDefault="00D20E2E" w:rsidP="00D20E2E">
            <w:pPr>
              <w:spacing w:line="720" w:lineRule="auto"/>
              <w:rPr>
                <w:rFonts w:eastAsiaTheme="minorHAnsi"/>
                <w:color w:val="545551"/>
              </w:rPr>
            </w:pPr>
            <w:bookmarkStart w:id="0" w:name="xingming"/>
            <w:bookmarkStart w:id="1" w:name="_GoBack"/>
            <w:bookmarkEnd w:id="1"/>
            <w:r w:rsidRPr="00D20E2E">
              <w:rPr>
                <w:rFonts w:ascii="等线" w:eastAsia="等线" w:hAnsi="Times New Roman"/>
                <w:b/>
                <w:color w:val="000000"/>
                <w:sz w:val="48"/>
              </w:rPr>
              <w:t>COLIN LAW</w:t>
            </w:r>
            <w:bookmarkEnd w:id="0"/>
          </w:p>
          <w:p w14:paraId="706EB16B" w14:textId="3B027486" w:rsidR="0049405C" w:rsidRPr="00C24D79" w:rsidRDefault="00D20E2E" w:rsidP="00D20E2E">
            <w:pPr>
              <w:spacing w:line="360" w:lineRule="auto"/>
              <w:rPr>
                <w:rFonts w:eastAsiaTheme="minorHAnsi"/>
                <w:b/>
                <w:bCs/>
                <w:color w:val="545551"/>
              </w:rPr>
            </w:pPr>
            <w:bookmarkStart w:id="2" w:name="didian"/>
            <w:r w:rsidRPr="00D20E2E">
              <w:rPr>
                <w:rFonts w:ascii="等线" w:eastAsia="等线" w:hAnsi="Times New Roman"/>
                <w:b/>
                <w:bCs/>
                <w:color w:val="000000"/>
              </w:rPr>
              <w:t>Partner</w:t>
            </w:r>
            <w:r w:rsidRPr="00D20E2E">
              <w:rPr>
                <w:rFonts w:ascii="等线" w:eastAsia="等线" w:hAnsi="Times New Roman"/>
                <w:b/>
                <w:bCs/>
                <w:color w:val="000000"/>
              </w:rPr>
              <w:t>·</w:t>
            </w:r>
            <w:r w:rsidRPr="00D20E2E">
              <w:rPr>
                <w:rFonts w:ascii="等线" w:eastAsia="等线" w:hAnsi="Times New Roman"/>
                <w:b/>
                <w:bCs/>
                <w:color w:val="000000"/>
              </w:rPr>
              <w:t>Hong Kong</w:t>
            </w:r>
            <w:bookmarkEnd w:id="2"/>
          </w:p>
          <w:p w14:paraId="6199424A" w14:textId="683D0122" w:rsidR="0049405C" w:rsidRPr="00C24D79" w:rsidRDefault="00D20E2E" w:rsidP="00D20E2E">
            <w:pPr>
              <w:spacing w:line="360" w:lineRule="auto"/>
              <w:rPr>
                <w:rFonts w:eastAsiaTheme="minorHAnsi"/>
                <w:color w:val="545551"/>
              </w:rPr>
            </w:pPr>
            <w:bookmarkStart w:id="3" w:name="dianhua"/>
            <w:r w:rsidRPr="00D20E2E">
              <w:rPr>
                <w:rFonts w:ascii="等线" w:eastAsia="等线" w:hAnsi="Times New Roman"/>
                <w:color w:val="000000"/>
              </w:rPr>
              <w:t xml:space="preserve">+852 3749 1150 </w:t>
            </w:r>
            <w:bookmarkEnd w:id="3"/>
          </w:p>
          <w:p w14:paraId="4F910ACA" w14:textId="076167FF" w:rsidR="0049405C" w:rsidRPr="00C24D79" w:rsidRDefault="00D20E2E" w:rsidP="00D20E2E">
            <w:pPr>
              <w:spacing w:line="360" w:lineRule="auto"/>
              <w:rPr>
                <w:rFonts w:eastAsiaTheme="minorHAnsi"/>
                <w:color w:val="000000"/>
              </w:rPr>
            </w:pPr>
            <w:bookmarkStart w:id="4" w:name="youxiang"/>
            <w:r w:rsidRPr="00D20E2E">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00C2AC" w:rsidR="0049405C" w:rsidRPr="00C24D79" w:rsidRDefault="00D20E2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3923D6" wp14:editId="03D815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EDF51AB" w:rsidR="009465FB" w:rsidRPr="00C24D79" w:rsidRDefault="00D20E2E" w:rsidP="007177F3">
            <w:pPr>
              <w:rPr>
                <w:rFonts w:eastAsiaTheme="minorHAnsi"/>
                <w:color w:val="000000"/>
                <w:szCs w:val="21"/>
              </w:rPr>
            </w:pPr>
            <w:bookmarkStart w:id="6" w:name="zhiyelingyu"/>
            <w:r w:rsidRPr="00D20E2E">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7C6B4E" w14:textId="77777777" w:rsidR="00D20E2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0DB8C7" w14:textId="77777777" w:rsidR="00D20E2E" w:rsidRDefault="00D20E2E" w:rsidP="00D20E2E">
      <w:pPr>
        <w:pStyle w:val="af5"/>
        <w:spacing w:before="120"/>
        <w:rPr>
          <w:rFonts w:ascii="等线" w:eastAsia="等线" w:hAnsi="Times New Roman"/>
          <w:color w:val="000000"/>
        </w:rPr>
      </w:pPr>
      <w:r w:rsidRPr="00D20E2E">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3B05C312" w14:textId="77777777" w:rsidR="00D20E2E" w:rsidRDefault="00D20E2E" w:rsidP="00D20E2E">
      <w:pPr>
        <w:pStyle w:val="af5"/>
        <w:spacing w:after="0" w:line="480" w:lineRule="auto"/>
        <w:rPr>
          <w:rFonts w:ascii="等线" w:eastAsia="等线" w:hAnsi="等线"/>
          <w:b/>
          <w:sz w:val="24"/>
        </w:rPr>
      </w:pPr>
      <w:r w:rsidRPr="00D20E2E">
        <w:rPr>
          <w:rFonts w:ascii="等线" w:eastAsia="等线" w:hAnsi="等线"/>
          <w:b/>
          <w:sz w:val="24"/>
        </w:rPr>
        <w:t>REPRESENTATIVE MATTERS AND CASES</w:t>
      </w:r>
    </w:p>
    <w:p w14:paraId="65F60021" w14:textId="77777777" w:rsidR="00D20E2E" w:rsidRDefault="00D20E2E" w:rsidP="00D20E2E">
      <w:pPr>
        <w:pStyle w:val="af5"/>
        <w:spacing w:before="120"/>
        <w:rPr>
          <w:rFonts w:ascii="等线" w:eastAsia="等线" w:hAnsi="Times New Roman"/>
          <w:color w:val="000000"/>
        </w:rPr>
      </w:pPr>
      <w:r w:rsidRPr="00D20E2E">
        <w:rPr>
          <w:rFonts w:ascii="等线" w:eastAsia="等线" w:hAnsi="Times New Roman"/>
          <w:color w:val="000000"/>
        </w:rPr>
        <w:t>Corporate Finance</w:t>
      </w:r>
    </w:p>
    <w:p w14:paraId="12FAF1AB" w14:textId="77777777" w:rsidR="00D20E2E" w:rsidRDefault="00D20E2E" w:rsidP="00D20E2E">
      <w:pPr>
        <w:pStyle w:val="af5"/>
        <w:numPr>
          <w:ilvl w:val="0"/>
          <w:numId w:val="1"/>
        </w:numPr>
        <w:spacing w:before="120"/>
        <w:ind w:left="690" w:hanging="240"/>
        <w:rPr>
          <w:rFonts w:ascii="等线" w:eastAsia="等线" w:hAnsi="Times New Roman"/>
          <w:color w:val="000000"/>
        </w:rPr>
      </w:pPr>
      <w:r w:rsidRPr="00D20E2E">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4CA7C470" w14:textId="77777777" w:rsidR="00D20E2E" w:rsidRDefault="00D20E2E" w:rsidP="00D20E2E">
      <w:pPr>
        <w:pStyle w:val="af5"/>
        <w:numPr>
          <w:ilvl w:val="0"/>
          <w:numId w:val="2"/>
        </w:numPr>
        <w:spacing w:before="120"/>
        <w:ind w:left="690" w:hanging="240"/>
        <w:rPr>
          <w:rFonts w:ascii="等线" w:eastAsia="等线" w:hAnsi="Times New Roman"/>
          <w:color w:val="000000"/>
        </w:rPr>
      </w:pPr>
      <w:r w:rsidRPr="00D20E2E">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0CBC06AB" w14:textId="77777777" w:rsidR="00D20E2E" w:rsidRDefault="00D20E2E" w:rsidP="00D20E2E">
      <w:pPr>
        <w:pStyle w:val="af5"/>
        <w:numPr>
          <w:ilvl w:val="0"/>
          <w:numId w:val="3"/>
        </w:numPr>
        <w:spacing w:before="120"/>
        <w:ind w:left="690" w:hanging="240"/>
        <w:rPr>
          <w:rFonts w:ascii="等线" w:eastAsia="等线" w:hAnsi="Times New Roman"/>
          <w:color w:val="000000"/>
        </w:rPr>
      </w:pPr>
      <w:r w:rsidRPr="00D20E2E">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0DBAE4B8" w14:textId="77777777" w:rsidR="00D20E2E" w:rsidRDefault="00D20E2E" w:rsidP="00D20E2E">
      <w:pPr>
        <w:pStyle w:val="af5"/>
        <w:numPr>
          <w:ilvl w:val="0"/>
          <w:numId w:val="4"/>
        </w:numPr>
        <w:spacing w:before="120"/>
        <w:ind w:left="690" w:hanging="240"/>
        <w:rPr>
          <w:rFonts w:ascii="等线" w:eastAsia="等线" w:hAnsi="Times New Roman"/>
          <w:color w:val="000000"/>
        </w:rPr>
      </w:pPr>
      <w:r w:rsidRPr="00D20E2E">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7C7A95B9" w14:textId="77777777" w:rsidR="00D20E2E" w:rsidRDefault="00D20E2E" w:rsidP="00D20E2E">
      <w:pPr>
        <w:pStyle w:val="af5"/>
        <w:numPr>
          <w:ilvl w:val="0"/>
          <w:numId w:val="5"/>
        </w:numPr>
        <w:spacing w:before="120"/>
        <w:ind w:left="690" w:hanging="240"/>
        <w:rPr>
          <w:rFonts w:ascii="等线" w:eastAsia="等线" w:hAnsi="Times New Roman"/>
          <w:color w:val="000000"/>
        </w:rPr>
      </w:pPr>
      <w:r w:rsidRPr="00D20E2E">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2774E88E" w14:textId="77777777" w:rsidR="00D20E2E" w:rsidRDefault="00D20E2E" w:rsidP="00D20E2E">
      <w:pPr>
        <w:pStyle w:val="af5"/>
        <w:numPr>
          <w:ilvl w:val="0"/>
          <w:numId w:val="6"/>
        </w:numPr>
        <w:spacing w:before="120"/>
        <w:ind w:left="690" w:hanging="240"/>
        <w:rPr>
          <w:rFonts w:ascii="等线" w:eastAsia="等线" w:hAnsi="Times New Roman"/>
          <w:color w:val="000000"/>
        </w:rPr>
      </w:pPr>
      <w:r w:rsidRPr="00D20E2E">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0730782F" w14:textId="77777777" w:rsidR="00D20E2E" w:rsidRDefault="00D20E2E" w:rsidP="00D20E2E">
      <w:pPr>
        <w:pStyle w:val="af5"/>
        <w:numPr>
          <w:ilvl w:val="0"/>
          <w:numId w:val="7"/>
        </w:numPr>
        <w:spacing w:before="120"/>
        <w:ind w:left="690" w:hanging="240"/>
        <w:rPr>
          <w:rFonts w:ascii="等线" w:eastAsia="等线" w:hAnsi="Times New Roman"/>
          <w:color w:val="000000"/>
        </w:rPr>
      </w:pPr>
      <w:r w:rsidRPr="00D20E2E">
        <w:rPr>
          <w:rFonts w:ascii="等线" w:eastAsia="等线" w:hAnsi="Times New Roman"/>
          <w:color w:val="000000"/>
        </w:rPr>
        <w:t>Jinxin Fertility Group Limited in its US$400 million global offering and initial public offering on the Main Board of the HKEx</w:t>
      </w:r>
    </w:p>
    <w:p w14:paraId="2E9F788E" w14:textId="77777777" w:rsidR="00D20E2E" w:rsidRDefault="00D20E2E" w:rsidP="00D20E2E">
      <w:pPr>
        <w:pStyle w:val="af5"/>
        <w:numPr>
          <w:ilvl w:val="0"/>
          <w:numId w:val="8"/>
        </w:numPr>
        <w:spacing w:before="120"/>
        <w:ind w:left="690" w:hanging="240"/>
        <w:rPr>
          <w:rFonts w:ascii="等线" w:eastAsia="等线" w:hAnsi="Times New Roman"/>
          <w:color w:val="000000"/>
        </w:rPr>
      </w:pPr>
      <w:r w:rsidRPr="00D20E2E">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5454DBA4" w14:textId="77777777" w:rsidR="00D20E2E" w:rsidRDefault="00D20E2E" w:rsidP="00D20E2E">
      <w:pPr>
        <w:pStyle w:val="af5"/>
        <w:numPr>
          <w:ilvl w:val="0"/>
          <w:numId w:val="9"/>
        </w:numPr>
        <w:spacing w:before="120"/>
        <w:ind w:left="690" w:hanging="240"/>
        <w:rPr>
          <w:rFonts w:ascii="等线" w:eastAsia="等线" w:hAnsi="Times New Roman"/>
          <w:color w:val="000000"/>
        </w:rPr>
      </w:pPr>
      <w:r w:rsidRPr="00D20E2E">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09E7D4DF" w14:textId="77777777" w:rsidR="00D20E2E" w:rsidRDefault="00D20E2E" w:rsidP="00D20E2E">
      <w:pPr>
        <w:pStyle w:val="af5"/>
        <w:numPr>
          <w:ilvl w:val="0"/>
          <w:numId w:val="10"/>
        </w:numPr>
        <w:spacing w:before="120"/>
        <w:ind w:left="690" w:hanging="240"/>
        <w:rPr>
          <w:rFonts w:ascii="等线" w:eastAsia="等线" w:hAnsi="Times New Roman"/>
          <w:color w:val="000000"/>
        </w:rPr>
      </w:pPr>
      <w:r w:rsidRPr="00D20E2E">
        <w:rPr>
          <w:rFonts w:ascii="等线" w:eastAsia="等线" w:hAnsi="Times New Roman"/>
          <w:color w:val="000000"/>
        </w:rPr>
        <w:t>Bank of America Merrill Lynch and Goldman Sachs as sponsors for the US $205 million spin-off listing of Frontage, the US subsidiary of TigerMed</w:t>
      </w:r>
    </w:p>
    <w:p w14:paraId="19DE08F2" w14:textId="77777777" w:rsidR="00D20E2E" w:rsidRDefault="00D20E2E" w:rsidP="00D20E2E">
      <w:pPr>
        <w:pStyle w:val="af5"/>
        <w:numPr>
          <w:ilvl w:val="0"/>
          <w:numId w:val="11"/>
        </w:numPr>
        <w:spacing w:before="120"/>
        <w:ind w:left="690" w:hanging="240"/>
        <w:rPr>
          <w:rFonts w:ascii="等线" w:eastAsia="等线" w:hAnsi="Times New Roman"/>
          <w:color w:val="000000"/>
        </w:rPr>
      </w:pPr>
      <w:r w:rsidRPr="00D20E2E">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4B108248" w14:textId="77777777" w:rsidR="00D20E2E" w:rsidRDefault="00D20E2E" w:rsidP="00D20E2E">
      <w:pPr>
        <w:pStyle w:val="af5"/>
        <w:numPr>
          <w:ilvl w:val="0"/>
          <w:numId w:val="12"/>
        </w:numPr>
        <w:spacing w:before="120"/>
        <w:ind w:left="690" w:hanging="240"/>
        <w:rPr>
          <w:rFonts w:ascii="等线" w:eastAsia="等线" w:hAnsi="Times New Roman"/>
          <w:color w:val="000000"/>
        </w:rPr>
      </w:pPr>
      <w:r w:rsidRPr="00D20E2E">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19CF9319" w14:textId="77777777" w:rsidR="00D20E2E" w:rsidRDefault="00D20E2E" w:rsidP="00D20E2E">
      <w:pPr>
        <w:pStyle w:val="af5"/>
        <w:numPr>
          <w:ilvl w:val="0"/>
          <w:numId w:val="13"/>
        </w:numPr>
        <w:spacing w:before="120"/>
        <w:ind w:left="690" w:hanging="240"/>
        <w:rPr>
          <w:rFonts w:ascii="等线" w:eastAsia="等线" w:hAnsi="Times New Roman"/>
          <w:color w:val="000000"/>
        </w:rPr>
      </w:pPr>
      <w:r w:rsidRPr="00D20E2E">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66D61ABC" w14:textId="77777777" w:rsidR="00D20E2E" w:rsidRDefault="00D20E2E" w:rsidP="00D20E2E">
      <w:pPr>
        <w:pStyle w:val="af5"/>
        <w:numPr>
          <w:ilvl w:val="0"/>
          <w:numId w:val="14"/>
        </w:numPr>
        <w:spacing w:before="120"/>
        <w:ind w:left="690" w:hanging="240"/>
        <w:rPr>
          <w:rFonts w:ascii="等线" w:eastAsia="等线" w:hAnsi="Times New Roman"/>
          <w:color w:val="000000"/>
        </w:rPr>
      </w:pPr>
      <w:r w:rsidRPr="00D20E2E">
        <w:rPr>
          <w:rFonts w:ascii="等线" w:eastAsia="等线" w:hAnsi="Times New Roman"/>
          <w:color w:val="000000"/>
        </w:rPr>
        <w:t>Jacobson Pharma Corporation Limited, a leading pharmaceutical company in Hong Kong, in its global offering and initial public offering on the Main Board of the HKEx</w:t>
      </w:r>
    </w:p>
    <w:p w14:paraId="4519F507" w14:textId="77777777" w:rsidR="00D20E2E" w:rsidRDefault="00D20E2E" w:rsidP="00D20E2E">
      <w:pPr>
        <w:pStyle w:val="af5"/>
        <w:numPr>
          <w:ilvl w:val="0"/>
          <w:numId w:val="15"/>
        </w:numPr>
        <w:spacing w:before="120"/>
        <w:ind w:left="690" w:hanging="240"/>
        <w:rPr>
          <w:rFonts w:ascii="等线" w:eastAsia="等线" w:hAnsi="Times New Roman"/>
          <w:color w:val="000000"/>
        </w:rPr>
      </w:pPr>
      <w:r w:rsidRPr="00D20E2E">
        <w:rPr>
          <w:rFonts w:ascii="等线" w:eastAsia="等线" w:hAnsi="Times New Roman"/>
          <w:color w:val="000000"/>
        </w:rPr>
        <w:t>Tianli Education International Holdings Limited in its HK $1.73 billion (US $220 million) global offering and initial public offering on the Main Board of the HKEx</w:t>
      </w:r>
    </w:p>
    <w:p w14:paraId="48047B1A" w14:textId="77777777" w:rsidR="00D20E2E" w:rsidRDefault="00D20E2E" w:rsidP="00D20E2E">
      <w:pPr>
        <w:pStyle w:val="af5"/>
        <w:numPr>
          <w:ilvl w:val="0"/>
          <w:numId w:val="16"/>
        </w:numPr>
        <w:spacing w:before="120"/>
        <w:ind w:left="690" w:hanging="240"/>
        <w:rPr>
          <w:rFonts w:ascii="等线" w:eastAsia="等线" w:hAnsi="Times New Roman"/>
          <w:color w:val="000000"/>
        </w:rPr>
      </w:pPr>
      <w:r w:rsidRPr="00D20E2E">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793646A7" w14:textId="77777777" w:rsidR="00D20E2E" w:rsidRDefault="00D20E2E" w:rsidP="00D20E2E">
      <w:pPr>
        <w:pStyle w:val="af5"/>
        <w:numPr>
          <w:ilvl w:val="0"/>
          <w:numId w:val="17"/>
        </w:numPr>
        <w:spacing w:before="120"/>
        <w:ind w:left="690" w:hanging="240"/>
        <w:rPr>
          <w:rFonts w:ascii="等线" w:eastAsia="等线" w:hAnsi="Times New Roman"/>
          <w:color w:val="000000"/>
        </w:rPr>
      </w:pPr>
      <w:r w:rsidRPr="00D20E2E">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03285F29" w14:textId="77777777" w:rsidR="00D20E2E" w:rsidRDefault="00D20E2E" w:rsidP="00D20E2E">
      <w:pPr>
        <w:pStyle w:val="af5"/>
        <w:numPr>
          <w:ilvl w:val="0"/>
          <w:numId w:val="18"/>
        </w:numPr>
        <w:spacing w:before="120"/>
        <w:ind w:left="690" w:hanging="240"/>
        <w:rPr>
          <w:rFonts w:ascii="等线" w:eastAsia="等线" w:hAnsi="Times New Roman"/>
          <w:color w:val="000000"/>
        </w:rPr>
      </w:pPr>
      <w:r w:rsidRPr="00D20E2E">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45941FFD" w14:textId="77777777" w:rsidR="00D20E2E" w:rsidRDefault="00D20E2E" w:rsidP="00D20E2E">
      <w:pPr>
        <w:pStyle w:val="af5"/>
        <w:numPr>
          <w:ilvl w:val="0"/>
          <w:numId w:val="19"/>
        </w:numPr>
        <w:spacing w:before="120"/>
        <w:ind w:left="690" w:hanging="240"/>
        <w:rPr>
          <w:rFonts w:ascii="等线" w:eastAsia="等线" w:hAnsi="Times New Roman"/>
          <w:color w:val="000000"/>
        </w:rPr>
      </w:pPr>
      <w:r w:rsidRPr="00D20E2E">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683F548D" w14:textId="77777777" w:rsidR="00D20E2E" w:rsidRDefault="00D20E2E" w:rsidP="00D20E2E">
      <w:pPr>
        <w:pStyle w:val="af5"/>
        <w:numPr>
          <w:ilvl w:val="0"/>
          <w:numId w:val="20"/>
        </w:numPr>
        <w:spacing w:before="120"/>
        <w:ind w:left="690" w:hanging="240"/>
        <w:rPr>
          <w:rFonts w:ascii="等线" w:eastAsia="等线" w:hAnsi="Times New Roman"/>
          <w:color w:val="000000"/>
        </w:rPr>
      </w:pPr>
      <w:r w:rsidRPr="00D20E2E">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6D2C6754" w14:textId="77777777" w:rsidR="00D20E2E" w:rsidRDefault="00D20E2E" w:rsidP="00D20E2E">
      <w:pPr>
        <w:pStyle w:val="af5"/>
        <w:numPr>
          <w:ilvl w:val="0"/>
          <w:numId w:val="21"/>
        </w:numPr>
        <w:spacing w:before="120"/>
        <w:ind w:left="690" w:hanging="240"/>
        <w:rPr>
          <w:rFonts w:ascii="等线" w:eastAsia="等线" w:hAnsi="Times New Roman"/>
          <w:color w:val="000000"/>
        </w:rPr>
      </w:pPr>
      <w:r w:rsidRPr="00D20E2E">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7BD7B337" w14:textId="77777777" w:rsidR="00D20E2E" w:rsidRDefault="00D20E2E" w:rsidP="00D20E2E">
      <w:pPr>
        <w:pStyle w:val="af5"/>
        <w:numPr>
          <w:ilvl w:val="0"/>
          <w:numId w:val="22"/>
        </w:numPr>
        <w:spacing w:before="120"/>
        <w:ind w:left="690" w:hanging="240"/>
        <w:rPr>
          <w:rFonts w:ascii="等线" w:eastAsia="等线" w:hAnsi="Times New Roman"/>
          <w:color w:val="000000"/>
        </w:rPr>
      </w:pPr>
      <w:r w:rsidRPr="00D20E2E">
        <w:rPr>
          <w:rFonts w:ascii="等线" w:eastAsia="等线" w:hAnsi="Times New Roman"/>
          <w:color w:val="000000"/>
        </w:rPr>
        <w:t>Future Land Development Holdings, a Chinese real estate developer, in connection with the HK $2.06 billion (US $265 million) Hong Kong initial public offering</w:t>
      </w:r>
    </w:p>
    <w:p w14:paraId="26C09261" w14:textId="77777777" w:rsidR="00D20E2E" w:rsidRDefault="00D20E2E" w:rsidP="00D20E2E">
      <w:pPr>
        <w:pStyle w:val="af5"/>
        <w:numPr>
          <w:ilvl w:val="0"/>
          <w:numId w:val="23"/>
        </w:numPr>
        <w:spacing w:before="120"/>
        <w:ind w:left="690" w:hanging="240"/>
        <w:rPr>
          <w:rFonts w:ascii="等线" w:eastAsia="等线" w:hAnsi="Times New Roman"/>
          <w:color w:val="000000"/>
        </w:rPr>
      </w:pPr>
      <w:r w:rsidRPr="00D20E2E">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0225BFA1" w14:textId="77777777" w:rsidR="00D20E2E" w:rsidRDefault="00D20E2E" w:rsidP="00D20E2E">
      <w:pPr>
        <w:pStyle w:val="af5"/>
        <w:numPr>
          <w:ilvl w:val="0"/>
          <w:numId w:val="24"/>
        </w:numPr>
        <w:spacing w:before="120"/>
        <w:ind w:left="690" w:hanging="240"/>
        <w:rPr>
          <w:rFonts w:ascii="等线" w:eastAsia="等线" w:hAnsi="Times New Roman"/>
          <w:color w:val="000000"/>
        </w:rPr>
      </w:pPr>
      <w:r w:rsidRPr="00D20E2E">
        <w:rPr>
          <w:rFonts w:ascii="等线" w:eastAsia="等线" w:hAnsi="Times New Roman"/>
          <w:color w:val="000000"/>
        </w:rPr>
        <w:t>GE China in obtaining an exemption from Hong Kong Securities and Futures Commission in relation to</w:t>
      </w:r>
      <w:r w:rsidRPr="00D20E2E">
        <w:rPr>
          <w:rFonts w:ascii="等线" w:eastAsia="等线" w:hAnsi="Times New Roman"/>
          <w:color w:val="000000"/>
        </w:rPr>
        <w:t> </w:t>
      </w:r>
      <w:r w:rsidRPr="00D20E2E">
        <w:rPr>
          <w:rFonts w:ascii="等线" w:eastAsia="等线" w:hAnsi="Times New Roman"/>
          <w:color w:val="000000"/>
        </w:rPr>
        <w:t xml:space="preserve"> documents disclosure requirement of privatization of a public company</w:t>
      </w:r>
    </w:p>
    <w:p w14:paraId="6313D6D6" w14:textId="77777777" w:rsidR="00D20E2E" w:rsidRDefault="00D20E2E" w:rsidP="00D20E2E">
      <w:pPr>
        <w:pStyle w:val="af5"/>
        <w:numPr>
          <w:ilvl w:val="0"/>
          <w:numId w:val="25"/>
        </w:numPr>
        <w:spacing w:before="120"/>
        <w:ind w:left="690" w:hanging="240"/>
        <w:rPr>
          <w:rFonts w:ascii="等线" w:eastAsia="等线" w:hAnsi="Times New Roman"/>
          <w:color w:val="000000"/>
        </w:rPr>
      </w:pPr>
      <w:r w:rsidRPr="00D20E2E">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4817E76F" w14:textId="77777777" w:rsidR="00D20E2E" w:rsidRDefault="00D20E2E" w:rsidP="00D20E2E">
      <w:pPr>
        <w:pStyle w:val="af5"/>
        <w:numPr>
          <w:ilvl w:val="0"/>
          <w:numId w:val="26"/>
        </w:numPr>
        <w:spacing w:before="120"/>
        <w:ind w:left="690" w:hanging="240"/>
        <w:rPr>
          <w:rFonts w:ascii="等线" w:eastAsia="等线" w:hAnsi="Times New Roman"/>
          <w:color w:val="000000"/>
        </w:rPr>
      </w:pPr>
      <w:r w:rsidRPr="00D20E2E">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35330EC3" w14:textId="77777777" w:rsidR="00D20E2E" w:rsidRDefault="00D20E2E" w:rsidP="00D20E2E">
      <w:pPr>
        <w:pStyle w:val="af5"/>
        <w:numPr>
          <w:ilvl w:val="0"/>
          <w:numId w:val="27"/>
        </w:numPr>
        <w:spacing w:before="120"/>
        <w:ind w:left="690" w:hanging="240"/>
        <w:rPr>
          <w:rFonts w:ascii="等线" w:eastAsia="等线" w:hAnsi="Times New Roman"/>
          <w:color w:val="000000"/>
        </w:rPr>
      </w:pPr>
      <w:r w:rsidRPr="00D20E2E">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2871B014" w14:textId="77777777" w:rsidR="00D20E2E" w:rsidRDefault="00D20E2E" w:rsidP="00D20E2E">
      <w:pPr>
        <w:pStyle w:val="af5"/>
        <w:spacing w:before="120"/>
        <w:rPr>
          <w:rFonts w:ascii="等线" w:eastAsia="等线" w:hAnsi="Times New Roman"/>
          <w:color w:val="000000"/>
        </w:rPr>
      </w:pPr>
      <w:r w:rsidRPr="00D20E2E">
        <w:rPr>
          <w:rFonts w:ascii="等线" w:eastAsia="等线" w:hAnsi="Times New Roman"/>
          <w:color w:val="000000"/>
        </w:rPr>
        <w:t>Mergers and Acquisitions</w:t>
      </w:r>
    </w:p>
    <w:p w14:paraId="5181E7D7" w14:textId="77777777" w:rsidR="00D20E2E" w:rsidRDefault="00D20E2E" w:rsidP="00D20E2E">
      <w:pPr>
        <w:pStyle w:val="af5"/>
        <w:numPr>
          <w:ilvl w:val="0"/>
          <w:numId w:val="28"/>
        </w:numPr>
        <w:spacing w:before="120"/>
        <w:ind w:left="690" w:hanging="240"/>
        <w:rPr>
          <w:rFonts w:ascii="等线" w:eastAsia="等线" w:hAnsi="Times New Roman"/>
          <w:color w:val="000000"/>
        </w:rPr>
      </w:pPr>
      <w:r w:rsidRPr="00D20E2E">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24F87563" w14:textId="77777777" w:rsidR="00D20E2E" w:rsidRDefault="00D20E2E" w:rsidP="00D20E2E">
      <w:pPr>
        <w:pStyle w:val="af5"/>
        <w:numPr>
          <w:ilvl w:val="0"/>
          <w:numId w:val="29"/>
        </w:numPr>
        <w:spacing w:before="120"/>
        <w:ind w:left="690" w:hanging="240"/>
        <w:rPr>
          <w:rFonts w:ascii="等线" w:eastAsia="等线" w:hAnsi="Times New Roman"/>
          <w:color w:val="000000"/>
        </w:rPr>
      </w:pPr>
      <w:r w:rsidRPr="00D20E2E">
        <w:rPr>
          <w:rFonts w:ascii="等线" w:eastAsia="等线" w:hAnsi="Times New Roman"/>
          <w:color w:val="000000"/>
        </w:rPr>
        <w:t xml:space="preserve">Advised SUEZ on its merger with Veolia that gave an implied value for </w:t>
      </w:r>
      <w:r w:rsidRPr="00D20E2E">
        <w:rPr>
          <w:rFonts w:ascii="等线" w:eastAsia="等线" w:hAnsi="Times New Roman"/>
          <w:color w:val="000000"/>
        </w:rPr>
        <w:t>€</w:t>
      </w:r>
      <w:r w:rsidRPr="00D20E2E">
        <w:rPr>
          <w:rFonts w:ascii="等线" w:eastAsia="等线" w:hAnsi="Times New Roman"/>
          <w:color w:val="000000"/>
        </w:rPr>
        <w:t>13 billion for SUEZ. Our role is a regional one covering Asia including Hong Kong, PRC, Taiwan, Macau, Singapore, Malaysia, Thailand, Indonesia, Philippines and Vietnam</w:t>
      </w:r>
    </w:p>
    <w:p w14:paraId="788118BD" w14:textId="77777777" w:rsidR="00D20E2E" w:rsidRDefault="00D20E2E" w:rsidP="00D20E2E">
      <w:pPr>
        <w:pStyle w:val="af5"/>
        <w:numPr>
          <w:ilvl w:val="0"/>
          <w:numId w:val="30"/>
        </w:numPr>
        <w:spacing w:before="120"/>
        <w:ind w:left="690" w:hanging="240"/>
        <w:rPr>
          <w:rFonts w:ascii="等线" w:eastAsia="等线" w:hAnsi="Times New Roman"/>
          <w:color w:val="000000"/>
        </w:rPr>
      </w:pPr>
      <w:r w:rsidRPr="00D20E2E">
        <w:rPr>
          <w:rFonts w:ascii="等线" w:eastAsia="等线" w:hAnsi="Times New Roman"/>
          <w:color w:val="000000"/>
        </w:rPr>
        <w:t>Advised Suez (Asia) Limited on its HK$6,533 million acquisition of NWS Holdings Limited</w:t>
      </w:r>
      <w:r w:rsidRPr="00D20E2E">
        <w:rPr>
          <w:rFonts w:ascii="等线" w:eastAsia="等线" w:hAnsi="Times New Roman"/>
          <w:color w:val="000000"/>
        </w:rPr>
        <w:t>’</w:t>
      </w:r>
      <w:r w:rsidRPr="00D20E2E">
        <w:rPr>
          <w:rFonts w:ascii="等线" w:eastAsia="等线" w:hAnsi="Times New Roman"/>
          <w:color w:val="000000"/>
        </w:rPr>
        <w:t>s (HKEx stock code: 659) stakes in their joint venture businesses in the Greater China region, which operates over 70 water and waste projects in more than 30 cities</w:t>
      </w:r>
    </w:p>
    <w:p w14:paraId="1F570C0A" w14:textId="77777777" w:rsidR="00D20E2E" w:rsidRDefault="00D20E2E" w:rsidP="00D20E2E">
      <w:pPr>
        <w:pStyle w:val="af5"/>
        <w:numPr>
          <w:ilvl w:val="0"/>
          <w:numId w:val="31"/>
        </w:numPr>
        <w:spacing w:before="120"/>
        <w:ind w:left="690" w:hanging="240"/>
        <w:rPr>
          <w:rFonts w:ascii="等线" w:eastAsia="等线" w:hAnsi="Times New Roman"/>
          <w:color w:val="000000"/>
        </w:rPr>
      </w:pPr>
      <w:r w:rsidRPr="00D20E2E">
        <w:rPr>
          <w:rFonts w:ascii="等线" w:eastAsia="等线" w:hAnsi="Times New Roman"/>
          <w:color w:val="000000"/>
        </w:rPr>
        <w:t>Represented FrieslandCampina in the sale of its Chinese business to Yili Industrial (SHSE: 600887) for RMB380 million</w:t>
      </w:r>
    </w:p>
    <w:p w14:paraId="3D08FD39" w14:textId="77777777" w:rsidR="00D20E2E" w:rsidRDefault="00D20E2E" w:rsidP="00D20E2E">
      <w:pPr>
        <w:pStyle w:val="af5"/>
        <w:numPr>
          <w:ilvl w:val="0"/>
          <w:numId w:val="32"/>
        </w:numPr>
        <w:spacing w:before="120"/>
        <w:ind w:left="690" w:hanging="240"/>
        <w:rPr>
          <w:rFonts w:ascii="等线" w:eastAsia="等线" w:hAnsi="Times New Roman"/>
          <w:color w:val="000000"/>
        </w:rPr>
      </w:pPr>
      <w:r w:rsidRPr="00D20E2E">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D20E2E">
        <w:rPr>
          <w:rFonts w:ascii="等线" w:eastAsia="等线" w:hAnsi="Times New Roman"/>
          <w:color w:val="000000"/>
        </w:rPr>
        <w:t>“</w:t>
      </w:r>
      <w:r w:rsidRPr="00D20E2E">
        <w:rPr>
          <w:rFonts w:ascii="等线" w:eastAsia="等线" w:hAnsi="Times New Roman"/>
          <w:color w:val="000000"/>
        </w:rPr>
        <w:t>Jinke Property</w:t>
      </w:r>
      <w:r w:rsidRPr="00D20E2E">
        <w:rPr>
          <w:rFonts w:ascii="等线" w:eastAsia="等线" w:hAnsi="Times New Roman"/>
          <w:color w:val="000000"/>
        </w:rPr>
        <w:t>”</w:t>
      </w:r>
      <w:r w:rsidRPr="00D20E2E">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2CDBD63B" w14:textId="77777777" w:rsidR="00D20E2E" w:rsidRDefault="00D20E2E" w:rsidP="00D20E2E">
      <w:pPr>
        <w:pStyle w:val="af5"/>
        <w:numPr>
          <w:ilvl w:val="0"/>
          <w:numId w:val="33"/>
        </w:numPr>
        <w:spacing w:before="120"/>
        <w:ind w:left="690" w:hanging="240"/>
        <w:rPr>
          <w:rFonts w:ascii="等线" w:eastAsia="等线" w:hAnsi="Times New Roman"/>
          <w:color w:val="000000"/>
        </w:rPr>
      </w:pPr>
      <w:r w:rsidRPr="00D20E2E">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D20E2E">
        <w:rPr>
          <w:rFonts w:ascii="等线" w:eastAsia="等线" w:hAnsi="Times New Roman"/>
          <w:color w:val="000000"/>
        </w:rPr>
        <w:t> </w:t>
      </w:r>
      <w:r w:rsidRPr="00D20E2E">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3010C778" w14:textId="77777777" w:rsidR="00D20E2E" w:rsidRDefault="00D20E2E" w:rsidP="00D20E2E">
      <w:pPr>
        <w:pStyle w:val="af5"/>
        <w:numPr>
          <w:ilvl w:val="0"/>
          <w:numId w:val="34"/>
        </w:numPr>
        <w:spacing w:before="120"/>
        <w:ind w:left="690" w:hanging="240"/>
        <w:rPr>
          <w:rFonts w:ascii="等线" w:eastAsia="等线" w:hAnsi="Times New Roman"/>
          <w:color w:val="000000"/>
        </w:rPr>
      </w:pPr>
      <w:r w:rsidRPr="00D20E2E">
        <w:rPr>
          <w:rFonts w:ascii="等线" w:eastAsia="等线" w:hAnsi="Times New Roman"/>
          <w:color w:val="000000"/>
        </w:rPr>
        <w:t>Advised Softbank Vision Fund in its US$ 600 million cornerstone investment in the US$ 3.2 billion initial public offering of JD Logistics Inc. (HKEx stock code: 2618)</w:t>
      </w:r>
    </w:p>
    <w:p w14:paraId="3B2A3F75" w14:textId="77777777" w:rsidR="00D20E2E" w:rsidRDefault="00D20E2E" w:rsidP="00D20E2E">
      <w:pPr>
        <w:pStyle w:val="af5"/>
        <w:numPr>
          <w:ilvl w:val="0"/>
          <w:numId w:val="35"/>
        </w:numPr>
        <w:spacing w:before="120"/>
        <w:ind w:left="690" w:hanging="240"/>
        <w:rPr>
          <w:rFonts w:ascii="等线" w:eastAsia="等线" w:hAnsi="Times New Roman"/>
          <w:color w:val="000000"/>
        </w:rPr>
      </w:pPr>
      <w:r w:rsidRPr="00D20E2E">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0E6289B9" w14:textId="77777777" w:rsidR="00D20E2E" w:rsidRDefault="00D20E2E" w:rsidP="00D20E2E">
      <w:pPr>
        <w:pStyle w:val="af5"/>
        <w:numPr>
          <w:ilvl w:val="0"/>
          <w:numId w:val="36"/>
        </w:numPr>
        <w:spacing w:before="120"/>
        <w:ind w:left="690" w:hanging="240"/>
        <w:rPr>
          <w:rFonts w:ascii="等线" w:eastAsia="等线" w:hAnsi="Times New Roman"/>
          <w:color w:val="000000"/>
        </w:rPr>
      </w:pPr>
      <w:r w:rsidRPr="00D20E2E">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612DC7DE" w14:textId="77777777" w:rsidR="00D20E2E" w:rsidRDefault="00D20E2E" w:rsidP="00D20E2E">
      <w:pPr>
        <w:pStyle w:val="af5"/>
        <w:numPr>
          <w:ilvl w:val="0"/>
          <w:numId w:val="37"/>
        </w:numPr>
        <w:spacing w:before="120"/>
        <w:ind w:left="690" w:hanging="240"/>
        <w:rPr>
          <w:rFonts w:ascii="等线" w:eastAsia="等线" w:hAnsi="Times New Roman"/>
          <w:color w:val="000000"/>
        </w:rPr>
      </w:pPr>
      <w:r w:rsidRPr="00D20E2E">
        <w:rPr>
          <w:rFonts w:ascii="等线" w:eastAsia="等线" w:hAnsi="Times New Roman"/>
          <w:color w:val="000000"/>
        </w:rPr>
        <w:t>Represented a consortium of investors including Ant Financials and JCDecaux in its offer for Clear Media (HKEx stock code:100) valued at approximately US $500 million</w:t>
      </w:r>
    </w:p>
    <w:p w14:paraId="346DE724" w14:textId="77777777" w:rsidR="00D20E2E" w:rsidRDefault="00D20E2E" w:rsidP="00D20E2E">
      <w:pPr>
        <w:pStyle w:val="af5"/>
        <w:numPr>
          <w:ilvl w:val="0"/>
          <w:numId w:val="38"/>
        </w:numPr>
        <w:spacing w:before="120"/>
        <w:ind w:left="690" w:hanging="240"/>
        <w:rPr>
          <w:rFonts w:ascii="等线" w:eastAsia="等线" w:hAnsi="Times New Roman"/>
          <w:color w:val="000000"/>
        </w:rPr>
      </w:pPr>
      <w:r w:rsidRPr="00D20E2E">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08B6EB22" w14:textId="77777777" w:rsidR="00D20E2E" w:rsidRDefault="00D20E2E" w:rsidP="00D20E2E">
      <w:pPr>
        <w:pStyle w:val="af5"/>
        <w:numPr>
          <w:ilvl w:val="0"/>
          <w:numId w:val="39"/>
        </w:numPr>
        <w:spacing w:before="120"/>
        <w:ind w:left="690" w:hanging="240"/>
        <w:rPr>
          <w:rFonts w:ascii="等线" w:eastAsia="等线" w:hAnsi="Times New Roman"/>
          <w:color w:val="000000"/>
        </w:rPr>
      </w:pPr>
      <w:r w:rsidRPr="00D20E2E">
        <w:rPr>
          <w:rFonts w:ascii="等线" w:eastAsia="等线" w:hAnsi="Times New Roman"/>
          <w:color w:val="000000"/>
        </w:rPr>
        <w:t>Advised Haier Electronics (HKEx stock code:1169) as an offeree</w:t>
      </w:r>
      <w:r w:rsidRPr="00D20E2E">
        <w:rPr>
          <w:rFonts w:ascii="等线" w:eastAsia="等线" w:hAnsi="Times New Roman"/>
          <w:color w:val="000000"/>
        </w:rPr>
        <w:t> </w:t>
      </w:r>
      <w:r w:rsidRPr="00D20E2E">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63F9458E" w14:textId="77777777" w:rsidR="00D20E2E" w:rsidRDefault="00D20E2E" w:rsidP="00D20E2E">
      <w:pPr>
        <w:pStyle w:val="af5"/>
        <w:numPr>
          <w:ilvl w:val="0"/>
          <w:numId w:val="40"/>
        </w:numPr>
        <w:spacing w:before="120"/>
        <w:ind w:left="690" w:hanging="240"/>
        <w:rPr>
          <w:rFonts w:ascii="等线" w:eastAsia="等线" w:hAnsi="Times New Roman"/>
          <w:color w:val="000000"/>
        </w:rPr>
      </w:pPr>
      <w:r w:rsidRPr="00D20E2E">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389A522A" w14:textId="77777777" w:rsidR="00D20E2E" w:rsidRDefault="00D20E2E" w:rsidP="00D20E2E">
      <w:pPr>
        <w:pStyle w:val="af5"/>
        <w:numPr>
          <w:ilvl w:val="0"/>
          <w:numId w:val="41"/>
        </w:numPr>
        <w:spacing w:before="120"/>
        <w:ind w:left="690" w:hanging="240"/>
        <w:rPr>
          <w:rFonts w:ascii="等线" w:eastAsia="等线" w:hAnsi="Times New Roman"/>
          <w:color w:val="000000"/>
        </w:rPr>
      </w:pPr>
      <w:r w:rsidRPr="00D20E2E">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14E0F6DF" w14:textId="77777777" w:rsidR="00D20E2E" w:rsidRDefault="00D20E2E" w:rsidP="00D20E2E">
      <w:pPr>
        <w:pStyle w:val="af5"/>
        <w:numPr>
          <w:ilvl w:val="0"/>
          <w:numId w:val="42"/>
        </w:numPr>
        <w:spacing w:before="120"/>
        <w:ind w:left="690" w:hanging="240"/>
        <w:rPr>
          <w:rFonts w:ascii="等线" w:eastAsia="等线" w:hAnsi="Times New Roman"/>
          <w:color w:val="000000"/>
        </w:rPr>
      </w:pPr>
      <w:r w:rsidRPr="00D20E2E">
        <w:rPr>
          <w:rFonts w:ascii="等线" w:eastAsia="等线" w:hAnsi="Times New Roman"/>
          <w:color w:val="000000"/>
        </w:rPr>
        <w:t>Advised Chairman of the TCL group regarding the general offer, acting in concert, disclosure of interests, dealings and director</w:t>
      </w:r>
      <w:r w:rsidRPr="00D20E2E">
        <w:rPr>
          <w:rFonts w:ascii="等线" w:eastAsia="等线" w:hAnsi="Times New Roman"/>
          <w:color w:val="000000"/>
        </w:rPr>
        <w:t>’</w:t>
      </w:r>
      <w:r w:rsidRPr="00D20E2E">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17D70ACE" w14:textId="77777777" w:rsidR="00D20E2E" w:rsidRDefault="00D20E2E" w:rsidP="00D20E2E">
      <w:pPr>
        <w:pStyle w:val="af5"/>
        <w:numPr>
          <w:ilvl w:val="0"/>
          <w:numId w:val="43"/>
        </w:numPr>
        <w:spacing w:before="120"/>
        <w:ind w:left="690" w:hanging="240"/>
        <w:rPr>
          <w:rFonts w:ascii="等线" w:eastAsia="等线" w:hAnsi="Times New Roman"/>
          <w:color w:val="000000"/>
        </w:rPr>
      </w:pPr>
      <w:r w:rsidRPr="00D20E2E">
        <w:rPr>
          <w:rFonts w:ascii="等线" w:eastAsia="等线" w:hAnsi="Times New Roman"/>
          <w:color w:val="000000"/>
        </w:rPr>
        <w:t>Largest independent shareholder of Hopewell Holding (HKEx stock code: 0054) in its privatization</w:t>
      </w:r>
    </w:p>
    <w:p w14:paraId="3AC92CB5" w14:textId="77777777" w:rsidR="00D20E2E" w:rsidRDefault="00D20E2E" w:rsidP="00D20E2E">
      <w:pPr>
        <w:pStyle w:val="af5"/>
        <w:numPr>
          <w:ilvl w:val="0"/>
          <w:numId w:val="44"/>
        </w:numPr>
        <w:spacing w:before="120"/>
        <w:ind w:left="690" w:hanging="240"/>
        <w:rPr>
          <w:rFonts w:ascii="等线" w:eastAsia="等线" w:hAnsi="Times New Roman"/>
          <w:color w:val="000000"/>
        </w:rPr>
      </w:pPr>
      <w:r w:rsidRPr="00D20E2E">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72235099" w14:textId="77777777" w:rsidR="00D20E2E" w:rsidRDefault="00D20E2E" w:rsidP="00D20E2E">
      <w:pPr>
        <w:pStyle w:val="af5"/>
        <w:numPr>
          <w:ilvl w:val="0"/>
          <w:numId w:val="45"/>
        </w:numPr>
        <w:spacing w:before="120"/>
        <w:ind w:left="690" w:hanging="240"/>
        <w:rPr>
          <w:rFonts w:ascii="等线" w:eastAsia="等线" w:hAnsi="Times New Roman"/>
          <w:color w:val="000000"/>
        </w:rPr>
      </w:pPr>
      <w:r w:rsidRPr="00D20E2E">
        <w:rPr>
          <w:rFonts w:ascii="等线" w:eastAsia="等线" w:hAnsi="Times New Roman"/>
          <w:color w:val="000000"/>
        </w:rPr>
        <w:t>The controlling shareholder of Future Land Development Holdings Limited (HKEx stock code: 1030) in its privatization bid valued at US $661 million</w:t>
      </w:r>
    </w:p>
    <w:p w14:paraId="4F1634CC" w14:textId="77777777" w:rsidR="00D20E2E" w:rsidRDefault="00D20E2E" w:rsidP="00D20E2E">
      <w:pPr>
        <w:pStyle w:val="af5"/>
        <w:numPr>
          <w:ilvl w:val="0"/>
          <w:numId w:val="46"/>
        </w:numPr>
        <w:spacing w:before="120"/>
        <w:ind w:left="690" w:hanging="240"/>
        <w:rPr>
          <w:rFonts w:ascii="等线" w:eastAsia="等线" w:hAnsi="Times New Roman"/>
          <w:color w:val="000000"/>
        </w:rPr>
      </w:pPr>
      <w:r w:rsidRPr="00D20E2E">
        <w:rPr>
          <w:rFonts w:ascii="等线" w:eastAsia="等线" w:hAnsi="Times New Roman"/>
          <w:color w:val="000000"/>
        </w:rPr>
        <w:t>China Culiangwang Beverages Holdings Limited in connection with the US $400.5 million disposal of its beverage business to Coca-Cola Beverages (Shanghai) Company Limited</w:t>
      </w:r>
    </w:p>
    <w:p w14:paraId="6264B97B" w14:textId="77777777" w:rsidR="00D20E2E" w:rsidRDefault="00D20E2E" w:rsidP="00D20E2E">
      <w:pPr>
        <w:pStyle w:val="af5"/>
        <w:numPr>
          <w:ilvl w:val="0"/>
          <w:numId w:val="47"/>
        </w:numPr>
        <w:spacing w:before="120"/>
        <w:ind w:left="690" w:hanging="240"/>
        <w:rPr>
          <w:rFonts w:ascii="等线" w:eastAsia="等线" w:hAnsi="Times New Roman"/>
          <w:color w:val="000000"/>
        </w:rPr>
      </w:pPr>
      <w:r w:rsidRPr="00D20E2E">
        <w:rPr>
          <w:rFonts w:ascii="等线" w:eastAsia="等线" w:hAnsi="Times New Roman"/>
          <w:color w:val="000000"/>
        </w:rPr>
        <w:t>Advised Hung Hing Printing Group Limited on the sale of</w:t>
      </w:r>
      <w:r w:rsidRPr="00D20E2E">
        <w:rPr>
          <w:rFonts w:ascii="等线" w:eastAsia="等线" w:hAnsi="Times New Roman"/>
          <w:color w:val="000000"/>
        </w:rPr>
        <w:t> </w:t>
      </w:r>
      <w:r w:rsidRPr="00D20E2E">
        <w:rPr>
          <w:rFonts w:ascii="等线" w:eastAsia="等线" w:hAnsi="Times New Roman"/>
          <w:color w:val="000000"/>
        </w:rPr>
        <w:t xml:space="preserve"> its subsidiary Sun Hing Paper Company Limited for US$149 million, a transaction that was categorized as a very substantial disposal</w:t>
      </w:r>
    </w:p>
    <w:p w14:paraId="3DE2475E" w14:textId="77777777" w:rsidR="00D20E2E" w:rsidRDefault="00D20E2E" w:rsidP="00D20E2E">
      <w:pPr>
        <w:pStyle w:val="af5"/>
        <w:numPr>
          <w:ilvl w:val="0"/>
          <w:numId w:val="48"/>
        </w:numPr>
        <w:spacing w:before="120"/>
        <w:ind w:left="690" w:hanging="240"/>
        <w:rPr>
          <w:rFonts w:ascii="等线" w:eastAsia="等线" w:hAnsi="Times New Roman"/>
          <w:color w:val="000000"/>
        </w:rPr>
      </w:pPr>
      <w:r w:rsidRPr="00D20E2E">
        <w:rPr>
          <w:rFonts w:ascii="等线" w:eastAsia="等线" w:hAnsi="Times New Roman"/>
          <w:color w:val="000000"/>
        </w:rPr>
        <w:t>Home Group Ltd on the sale of its US$53.4 million worth of its shares to Man Wah Holdings in return for a minority stake in Man Wah Holdings</w:t>
      </w:r>
    </w:p>
    <w:p w14:paraId="70353A96" w14:textId="77777777" w:rsidR="00D20E2E" w:rsidRDefault="00D20E2E" w:rsidP="00D20E2E">
      <w:pPr>
        <w:pStyle w:val="af5"/>
        <w:numPr>
          <w:ilvl w:val="0"/>
          <w:numId w:val="49"/>
        </w:numPr>
        <w:spacing w:before="120"/>
        <w:ind w:left="690" w:hanging="240"/>
        <w:rPr>
          <w:rFonts w:ascii="等线" w:eastAsia="等线" w:hAnsi="Times New Roman"/>
          <w:color w:val="000000"/>
        </w:rPr>
      </w:pPr>
      <w:r w:rsidRPr="00D20E2E">
        <w:rPr>
          <w:rFonts w:ascii="等线" w:eastAsia="等线" w:hAnsi="Times New Roman"/>
          <w:color w:val="000000"/>
        </w:rPr>
        <w:t>A Hong Kong-listed Shengmu Organic Milk Ltd. on the US$335 million sale of its shares and advised on acting in concert implications</w:t>
      </w:r>
    </w:p>
    <w:p w14:paraId="4EA41A0B" w14:textId="77777777" w:rsidR="00D20E2E" w:rsidRDefault="00D20E2E" w:rsidP="00D20E2E">
      <w:pPr>
        <w:pStyle w:val="af5"/>
        <w:numPr>
          <w:ilvl w:val="0"/>
          <w:numId w:val="50"/>
        </w:numPr>
        <w:spacing w:before="120"/>
        <w:ind w:left="690" w:hanging="240"/>
        <w:rPr>
          <w:rFonts w:ascii="等线" w:eastAsia="等线" w:hAnsi="Times New Roman"/>
          <w:color w:val="000000"/>
        </w:rPr>
      </w:pPr>
      <w:r w:rsidRPr="00D20E2E">
        <w:rPr>
          <w:rFonts w:ascii="等线" w:eastAsia="等线" w:hAnsi="Times New Roman"/>
          <w:color w:val="000000"/>
        </w:rPr>
        <w:t>Qatar Investment Authority, through wholly owned subsidiary Qatar Holdings LLC, in its acquisition of a 22% stake in CITIC Capital Holdings Limited</w:t>
      </w:r>
    </w:p>
    <w:p w14:paraId="539DFC91" w14:textId="77777777" w:rsidR="00D20E2E" w:rsidRDefault="00D20E2E" w:rsidP="00D20E2E">
      <w:pPr>
        <w:pStyle w:val="af5"/>
        <w:numPr>
          <w:ilvl w:val="0"/>
          <w:numId w:val="51"/>
        </w:numPr>
        <w:spacing w:before="120"/>
        <w:ind w:left="690" w:hanging="240"/>
        <w:rPr>
          <w:rFonts w:ascii="等线" w:eastAsia="等线" w:hAnsi="Times New Roman"/>
          <w:color w:val="000000"/>
        </w:rPr>
      </w:pPr>
      <w:r w:rsidRPr="00D20E2E">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5347E344" w14:textId="77777777" w:rsidR="00D20E2E" w:rsidRDefault="00D20E2E" w:rsidP="00D20E2E">
      <w:pPr>
        <w:pStyle w:val="af5"/>
        <w:numPr>
          <w:ilvl w:val="0"/>
          <w:numId w:val="52"/>
        </w:numPr>
        <w:spacing w:before="120"/>
        <w:ind w:left="690" w:hanging="240"/>
        <w:rPr>
          <w:rFonts w:ascii="等线" w:eastAsia="等线" w:hAnsi="Times New Roman"/>
          <w:color w:val="000000"/>
        </w:rPr>
      </w:pPr>
      <w:r w:rsidRPr="00D20E2E">
        <w:rPr>
          <w:rFonts w:ascii="等线" w:eastAsia="等线" w:hAnsi="Times New Roman"/>
          <w:color w:val="000000"/>
        </w:rPr>
        <w:t>Shanghai Forte Land, a major property development company listed on HKEx, in connection with a HK $2,554 million privatisation offer by Fosun International Limited</w:t>
      </w:r>
    </w:p>
    <w:p w14:paraId="18B86FED" w14:textId="77777777" w:rsidR="00D20E2E" w:rsidRDefault="00D20E2E" w:rsidP="00D20E2E">
      <w:pPr>
        <w:pStyle w:val="af5"/>
        <w:spacing w:before="120"/>
        <w:rPr>
          <w:rFonts w:ascii="等线" w:eastAsia="等线" w:hAnsi="Times New Roman"/>
          <w:color w:val="000000"/>
        </w:rPr>
      </w:pPr>
      <w:r w:rsidRPr="00D20E2E">
        <w:rPr>
          <w:rFonts w:ascii="等线" w:eastAsia="等线" w:hAnsi="Times New Roman"/>
          <w:color w:val="000000"/>
        </w:rPr>
        <w:t>Regulatory</w:t>
      </w:r>
    </w:p>
    <w:p w14:paraId="64DF4CF2" w14:textId="77777777" w:rsidR="00D20E2E" w:rsidRDefault="00D20E2E" w:rsidP="00D20E2E">
      <w:pPr>
        <w:pStyle w:val="af5"/>
        <w:numPr>
          <w:ilvl w:val="0"/>
          <w:numId w:val="53"/>
        </w:numPr>
        <w:spacing w:before="120"/>
        <w:ind w:left="690" w:hanging="240"/>
        <w:rPr>
          <w:rFonts w:ascii="等线" w:eastAsia="等线" w:hAnsi="Times New Roman"/>
          <w:color w:val="000000"/>
        </w:rPr>
      </w:pPr>
      <w:r w:rsidRPr="00D20E2E">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5EF5C2D5" w14:textId="77777777" w:rsidR="00D20E2E" w:rsidRDefault="00D20E2E" w:rsidP="00D20E2E">
      <w:pPr>
        <w:pStyle w:val="af5"/>
        <w:numPr>
          <w:ilvl w:val="0"/>
          <w:numId w:val="54"/>
        </w:numPr>
        <w:spacing w:before="120"/>
        <w:ind w:left="690" w:hanging="240"/>
        <w:rPr>
          <w:rFonts w:ascii="等线" w:eastAsia="等线" w:hAnsi="Times New Roman"/>
          <w:color w:val="000000"/>
        </w:rPr>
      </w:pPr>
      <w:r w:rsidRPr="00D20E2E">
        <w:rPr>
          <w:rFonts w:ascii="等线" w:eastAsia="等线" w:hAnsi="Times New Roman"/>
          <w:color w:val="000000"/>
        </w:rPr>
        <w:t>Piper Jeffray in its acquisition and continued development of its Hong Kong investment banking arm and related regulatory issues</w:t>
      </w:r>
    </w:p>
    <w:p w14:paraId="0E68E796" w14:textId="77777777" w:rsidR="00D20E2E" w:rsidRDefault="00D20E2E" w:rsidP="00D20E2E">
      <w:pPr>
        <w:pStyle w:val="af5"/>
        <w:numPr>
          <w:ilvl w:val="0"/>
          <w:numId w:val="55"/>
        </w:numPr>
        <w:spacing w:before="120"/>
        <w:ind w:left="690" w:hanging="240"/>
        <w:rPr>
          <w:rFonts w:ascii="等线" w:eastAsia="等线" w:hAnsi="Times New Roman"/>
          <w:color w:val="000000"/>
        </w:rPr>
      </w:pPr>
      <w:r w:rsidRPr="00D20E2E">
        <w:rPr>
          <w:rFonts w:ascii="等线" w:eastAsia="等线" w:hAnsi="Times New Roman"/>
          <w:color w:val="000000"/>
        </w:rPr>
        <w:t>GE China in obtaining an exemption from Hong Kong Securities and Futures Commission in relation to documents disclosure requirement of privatization of a public company</w:t>
      </w:r>
    </w:p>
    <w:p w14:paraId="37E1831F" w14:textId="77777777" w:rsidR="00D20E2E" w:rsidRDefault="00D20E2E" w:rsidP="00D20E2E">
      <w:pPr>
        <w:pStyle w:val="af5"/>
        <w:spacing w:after="0" w:line="480" w:lineRule="auto"/>
        <w:rPr>
          <w:rFonts w:ascii="等线" w:eastAsia="等线" w:hAnsi="等线"/>
          <w:b/>
          <w:sz w:val="24"/>
        </w:rPr>
      </w:pPr>
      <w:r w:rsidRPr="00D20E2E">
        <w:rPr>
          <w:rFonts w:ascii="等线" w:eastAsia="等线" w:hAnsi="等线"/>
          <w:b/>
          <w:sz w:val="24"/>
        </w:rPr>
        <w:t>Education</w:t>
      </w:r>
    </w:p>
    <w:p w14:paraId="3D9F5A43" w14:textId="77777777" w:rsidR="00D20E2E" w:rsidRDefault="00D20E2E" w:rsidP="00D20E2E">
      <w:pPr>
        <w:pStyle w:val="af5"/>
        <w:numPr>
          <w:ilvl w:val="0"/>
          <w:numId w:val="56"/>
        </w:numPr>
        <w:spacing w:before="120"/>
        <w:ind w:left="690" w:hanging="240"/>
        <w:rPr>
          <w:rFonts w:ascii="等线" w:eastAsia="等线" w:hAnsi="Times New Roman"/>
          <w:color w:val="000000"/>
        </w:rPr>
      </w:pPr>
      <w:r w:rsidRPr="00D20E2E">
        <w:rPr>
          <w:rFonts w:ascii="等线" w:eastAsia="等线" w:hAnsi="Times New Roman"/>
          <w:color w:val="000000"/>
        </w:rPr>
        <w:t>University of Hong Kong, PCLL</w:t>
      </w:r>
    </w:p>
    <w:p w14:paraId="00560979" w14:textId="77777777" w:rsidR="00D20E2E" w:rsidRDefault="00D20E2E" w:rsidP="00D20E2E">
      <w:pPr>
        <w:pStyle w:val="af5"/>
        <w:numPr>
          <w:ilvl w:val="0"/>
          <w:numId w:val="57"/>
        </w:numPr>
        <w:spacing w:before="120"/>
        <w:ind w:left="690" w:hanging="240"/>
        <w:rPr>
          <w:rFonts w:ascii="等线" w:eastAsia="等线" w:hAnsi="Times New Roman"/>
          <w:color w:val="000000"/>
        </w:rPr>
      </w:pPr>
      <w:r w:rsidRPr="00D20E2E">
        <w:rPr>
          <w:rFonts w:ascii="等线" w:eastAsia="等线" w:hAnsi="Times New Roman"/>
          <w:color w:val="000000"/>
        </w:rPr>
        <w:t>University of Hong Kong, LL.B.</w:t>
      </w:r>
    </w:p>
    <w:p w14:paraId="3F871B13" w14:textId="77777777" w:rsidR="00D20E2E" w:rsidRDefault="00D20E2E" w:rsidP="00D20E2E">
      <w:pPr>
        <w:pStyle w:val="af5"/>
        <w:spacing w:after="0" w:line="480" w:lineRule="auto"/>
        <w:rPr>
          <w:rFonts w:ascii="等线" w:eastAsia="等线" w:hAnsi="等线"/>
          <w:b/>
          <w:sz w:val="24"/>
        </w:rPr>
      </w:pPr>
      <w:r w:rsidRPr="00D20E2E">
        <w:rPr>
          <w:rFonts w:ascii="等线" w:eastAsia="等线" w:hAnsi="等线"/>
          <w:b/>
          <w:sz w:val="24"/>
        </w:rPr>
        <w:t>Professional Qualification</w:t>
      </w:r>
    </w:p>
    <w:p w14:paraId="12DAAA63" w14:textId="77777777" w:rsidR="00D20E2E" w:rsidRDefault="00D20E2E" w:rsidP="00D20E2E">
      <w:pPr>
        <w:pStyle w:val="af5"/>
        <w:numPr>
          <w:ilvl w:val="0"/>
          <w:numId w:val="58"/>
        </w:numPr>
        <w:spacing w:before="120"/>
        <w:ind w:left="690" w:hanging="240"/>
        <w:rPr>
          <w:rFonts w:ascii="等线" w:eastAsia="等线" w:hAnsi="Times New Roman"/>
          <w:color w:val="000000"/>
        </w:rPr>
      </w:pPr>
      <w:r w:rsidRPr="00D20E2E">
        <w:rPr>
          <w:rFonts w:ascii="等线" w:eastAsia="等线" w:hAnsi="Times New Roman"/>
          <w:color w:val="000000"/>
        </w:rPr>
        <w:t>Admitted to practice in Hong Kong SAR (1993)</w:t>
      </w:r>
    </w:p>
    <w:p w14:paraId="446C0997" w14:textId="77777777" w:rsidR="00D20E2E" w:rsidRDefault="00D20E2E" w:rsidP="00D20E2E">
      <w:pPr>
        <w:pStyle w:val="af5"/>
        <w:numPr>
          <w:ilvl w:val="0"/>
          <w:numId w:val="59"/>
        </w:numPr>
        <w:spacing w:before="120"/>
        <w:ind w:left="690" w:hanging="240"/>
        <w:rPr>
          <w:rFonts w:ascii="等线" w:eastAsia="等线" w:hAnsi="Times New Roman"/>
          <w:color w:val="000000"/>
        </w:rPr>
      </w:pPr>
      <w:r w:rsidRPr="00D20E2E">
        <w:rPr>
          <w:rFonts w:ascii="等线" w:eastAsia="等线" w:hAnsi="Times New Roman"/>
          <w:color w:val="000000"/>
        </w:rPr>
        <w:t>Admitted to practice in England and Wales (1997)</w:t>
      </w:r>
    </w:p>
    <w:p w14:paraId="03B3EE37" w14:textId="77777777" w:rsidR="00D20E2E" w:rsidRDefault="00D20E2E" w:rsidP="00D20E2E">
      <w:pPr>
        <w:pStyle w:val="af5"/>
        <w:spacing w:after="0" w:line="480" w:lineRule="auto"/>
        <w:rPr>
          <w:rFonts w:ascii="等线" w:eastAsia="等线" w:hAnsi="等线"/>
          <w:b/>
          <w:sz w:val="24"/>
        </w:rPr>
      </w:pPr>
      <w:r w:rsidRPr="00D20E2E">
        <w:rPr>
          <w:rFonts w:ascii="等线" w:eastAsia="等线" w:hAnsi="等线"/>
          <w:b/>
          <w:sz w:val="24"/>
        </w:rPr>
        <w:t>Work Language</w:t>
      </w:r>
    </w:p>
    <w:p w14:paraId="0C2F4CD5" w14:textId="77777777" w:rsidR="00D20E2E" w:rsidRDefault="00D20E2E" w:rsidP="00D20E2E">
      <w:pPr>
        <w:pStyle w:val="af5"/>
        <w:numPr>
          <w:ilvl w:val="0"/>
          <w:numId w:val="60"/>
        </w:numPr>
        <w:spacing w:before="120"/>
        <w:ind w:left="690" w:hanging="240"/>
        <w:rPr>
          <w:rFonts w:ascii="等线" w:eastAsia="等线" w:hAnsi="Times New Roman"/>
          <w:color w:val="000000"/>
        </w:rPr>
      </w:pPr>
      <w:r w:rsidRPr="00D20E2E">
        <w:rPr>
          <w:rFonts w:ascii="等线" w:eastAsia="等线" w:hAnsi="Times New Roman"/>
          <w:color w:val="000000"/>
        </w:rPr>
        <w:t>English</w:t>
      </w:r>
    </w:p>
    <w:p w14:paraId="2557B038" w14:textId="77777777" w:rsidR="00D20E2E" w:rsidRDefault="00D20E2E" w:rsidP="00D20E2E">
      <w:pPr>
        <w:pStyle w:val="af5"/>
        <w:numPr>
          <w:ilvl w:val="0"/>
          <w:numId w:val="61"/>
        </w:numPr>
        <w:spacing w:before="120"/>
        <w:ind w:left="690" w:hanging="240"/>
        <w:rPr>
          <w:rFonts w:ascii="等线" w:eastAsia="等线" w:hAnsi="Times New Roman"/>
          <w:color w:val="000000"/>
        </w:rPr>
      </w:pPr>
      <w:r w:rsidRPr="00D20E2E">
        <w:rPr>
          <w:rFonts w:ascii="等线" w:eastAsia="等线" w:hAnsi="Times New Roman"/>
          <w:color w:val="000000"/>
        </w:rPr>
        <w:t>Mandarin Chinese</w:t>
      </w:r>
    </w:p>
    <w:p w14:paraId="5567FC3C" w14:textId="301013F6" w:rsidR="00686369" w:rsidRPr="00D20E2E" w:rsidRDefault="00D20E2E" w:rsidP="00D20E2E">
      <w:pPr>
        <w:pStyle w:val="af5"/>
        <w:numPr>
          <w:ilvl w:val="0"/>
          <w:numId w:val="62"/>
        </w:numPr>
        <w:spacing w:before="120"/>
        <w:ind w:left="690" w:hanging="240"/>
        <w:rPr>
          <w:rFonts w:ascii="等线" w:eastAsia="等线" w:hAnsi="Times New Roman"/>
          <w:color w:val="000000"/>
        </w:rPr>
      </w:pPr>
      <w:r w:rsidRPr="00D20E2E">
        <w:rPr>
          <w:rFonts w:ascii="等线" w:eastAsia="等线" w:hAnsi="Times New Roman"/>
          <w:color w:val="000000"/>
        </w:rPr>
        <w:t>Cantonese</w:t>
      </w:r>
    </w:p>
    <w:sectPr w:rsidR="00686369" w:rsidRPr="00D20E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996"/>
    <w:multiLevelType w:val="singleLevel"/>
    <w:tmpl w:val="152239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50149"/>
    <w:multiLevelType w:val="singleLevel"/>
    <w:tmpl w:val="3970F0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66E1B"/>
    <w:multiLevelType w:val="singleLevel"/>
    <w:tmpl w:val="19F89C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81E63"/>
    <w:multiLevelType w:val="singleLevel"/>
    <w:tmpl w:val="C4E2C8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A2B86"/>
    <w:multiLevelType w:val="singleLevel"/>
    <w:tmpl w:val="75BC48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CC62C8"/>
    <w:multiLevelType w:val="singleLevel"/>
    <w:tmpl w:val="283CCC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507DE9"/>
    <w:multiLevelType w:val="singleLevel"/>
    <w:tmpl w:val="70AE3D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B80BC0"/>
    <w:multiLevelType w:val="singleLevel"/>
    <w:tmpl w:val="16D8DA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D3071F"/>
    <w:multiLevelType w:val="singleLevel"/>
    <w:tmpl w:val="9E70C0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64CA9"/>
    <w:multiLevelType w:val="singleLevel"/>
    <w:tmpl w:val="98B851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0421A5"/>
    <w:multiLevelType w:val="singleLevel"/>
    <w:tmpl w:val="D8AA74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C074D0"/>
    <w:multiLevelType w:val="singleLevel"/>
    <w:tmpl w:val="3EE672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5F778A"/>
    <w:multiLevelType w:val="singleLevel"/>
    <w:tmpl w:val="B0A661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97F1D"/>
    <w:multiLevelType w:val="singleLevel"/>
    <w:tmpl w:val="448ADE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7D60E3"/>
    <w:multiLevelType w:val="singleLevel"/>
    <w:tmpl w:val="0D549A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F9159B"/>
    <w:multiLevelType w:val="singleLevel"/>
    <w:tmpl w:val="E7B240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9C7BEE"/>
    <w:multiLevelType w:val="singleLevel"/>
    <w:tmpl w:val="DE9466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67268C"/>
    <w:multiLevelType w:val="singleLevel"/>
    <w:tmpl w:val="B77487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BE2ACA"/>
    <w:multiLevelType w:val="singleLevel"/>
    <w:tmpl w:val="A992DD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D46231"/>
    <w:multiLevelType w:val="singleLevel"/>
    <w:tmpl w:val="0A3E5B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EF0A12"/>
    <w:multiLevelType w:val="singleLevel"/>
    <w:tmpl w:val="C8E45A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8B0560"/>
    <w:multiLevelType w:val="singleLevel"/>
    <w:tmpl w:val="D3ECA8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F11553"/>
    <w:multiLevelType w:val="singleLevel"/>
    <w:tmpl w:val="D5AEF2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593EFD"/>
    <w:multiLevelType w:val="singleLevel"/>
    <w:tmpl w:val="937EF6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1C18C1"/>
    <w:multiLevelType w:val="singleLevel"/>
    <w:tmpl w:val="129088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E51D2F"/>
    <w:multiLevelType w:val="singleLevel"/>
    <w:tmpl w:val="2F66E2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460720"/>
    <w:multiLevelType w:val="singleLevel"/>
    <w:tmpl w:val="97C253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B56E7D"/>
    <w:multiLevelType w:val="singleLevel"/>
    <w:tmpl w:val="D91A40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070BD9"/>
    <w:multiLevelType w:val="singleLevel"/>
    <w:tmpl w:val="8DB6EB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385C90"/>
    <w:multiLevelType w:val="singleLevel"/>
    <w:tmpl w:val="A77A76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7D2176"/>
    <w:multiLevelType w:val="singleLevel"/>
    <w:tmpl w:val="681C56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B61B5A"/>
    <w:multiLevelType w:val="singleLevel"/>
    <w:tmpl w:val="42DAF1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9A2CF7"/>
    <w:multiLevelType w:val="singleLevel"/>
    <w:tmpl w:val="CCEAAF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D03175"/>
    <w:multiLevelType w:val="singleLevel"/>
    <w:tmpl w:val="3B06D7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984D1D"/>
    <w:multiLevelType w:val="singleLevel"/>
    <w:tmpl w:val="E062CD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277DDA"/>
    <w:multiLevelType w:val="singleLevel"/>
    <w:tmpl w:val="870E9A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421E99"/>
    <w:multiLevelType w:val="singleLevel"/>
    <w:tmpl w:val="507647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654934"/>
    <w:multiLevelType w:val="singleLevel"/>
    <w:tmpl w:val="CC9AA4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A0352E"/>
    <w:multiLevelType w:val="singleLevel"/>
    <w:tmpl w:val="3E1AB96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DD60A7"/>
    <w:multiLevelType w:val="singleLevel"/>
    <w:tmpl w:val="C7F0CD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FC0822"/>
    <w:multiLevelType w:val="singleLevel"/>
    <w:tmpl w:val="E7D4544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2B5C46"/>
    <w:multiLevelType w:val="singleLevel"/>
    <w:tmpl w:val="869440A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38117E"/>
    <w:multiLevelType w:val="singleLevel"/>
    <w:tmpl w:val="0FC8E2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7763E1"/>
    <w:multiLevelType w:val="singleLevel"/>
    <w:tmpl w:val="8D7C78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7C6C8D"/>
    <w:multiLevelType w:val="singleLevel"/>
    <w:tmpl w:val="147EAC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DC2950"/>
    <w:multiLevelType w:val="singleLevel"/>
    <w:tmpl w:val="C0F8978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E27056"/>
    <w:multiLevelType w:val="singleLevel"/>
    <w:tmpl w:val="6A46875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360673"/>
    <w:multiLevelType w:val="singleLevel"/>
    <w:tmpl w:val="CC18397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A2F52F6"/>
    <w:multiLevelType w:val="singleLevel"/>
    <w:tmpl w:val="1BC4882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B5149D4"/>
    <w:multiLevelType w:val="singleLevel"/>
    <w:tmpl w:val="54BAF46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D065E49"/>
    <w:multiLevelType w:val="singleLevel"/>
    <w:tmpl w:val="440E2DE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212D1C"/>
    <w:multiLevelType w:val="singleLevel"/>
    <w:tmpl w:val="629A35D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A5282D"/>
    <w:multiLevelType w:val="singleLevel"/>
    <w:tmpl w:val="402A0E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BE03B8"/>
    <w:multiLevelType w:val="singleLevel"/>
    <w:tmpl w:val="2D08EA4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994CB4"/>
    <w:multiLevelType w:val="singleLevel"/>
    <w:tmpl w:val="23084A8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AA4718"/>
    <w:multiLevelType w:val="singleLevel"/>
    <w:tmpl w:val="CA86E98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3991262"/>
    <w:multiLevelType w:val="singleLevel"/>
    <w:tmpl w:val="3CB8E71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68A64AB"/>
    <w:multiLevelType w:val="singleLevel"/>
    <w:tmpl w:val="E7B240D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6B795E"/>
    <w:multiLevelType w:val="singleLevel"/>
    <w:tmpl w:val="CBD4419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811F8B"/>
    <w:multiLevelType w:val="singleLevel"/>
    <w:tmpl w:val="ECA8ACD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3C11B2"/>
    <w:multiLevelType w:val="singleLevel"/>
    <w:tmpl w:val="B3DA654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FE008B1"/>
    <w:multiLevelType w:val="singleLevel"/>
    <w:tmpl w:val="ADBA444A"/>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50"/>
  </w:num>
  <w:num w:numId="3">
    <w:abstractNumId w:val="61"/>
  </w:num>
  <w:num w:numId="4">
    <w:abstractNumId w:val="18"/>
  </w:num>
  <w:num w:numId="5">
    <w:abstractNumId w:val="14"/>
  </w:num>
  <w:num w:numId="6">
    <w:abstractNumId w:val="37"/>
  </w:num>
  <w:num w:numId="7">
    <w:abstractNumId w:val="29"/>
  </w:num>
  <w:num w:numId="8">
    <w:abstractNumId w:val="20"/>
  </w:num>
  <w:num w:numId="9">
    <w:abstractNumId w:val="43"/>
  </w:num>
  <w:num w:numId="10">
    <w:abstractNumId w:val="44"/>
  </w:num>
  <w:num w:numId="11">
    <w:abstractNumId w:val="40"/>
  </w:num>
  <w:num w:numId="12">
    <w:abstractNumId w:val="32"/>
  </w:num>
  <w:num w:numId="13">
    <w:abstractNumId w:val="5"/>
  </w:num>
  <w:num w:numId="14">
    <w:abstractNumId w:val="28"/>
  </w:num>
  <w:num w:numId="15">
    <w:abstractNumId w:val="46"/>
  </w:num>
  <w:num w:numId="16">
    <w:abstractNumId w:val="22"/>
  </w:num>
  <w:num w:numId="17">
    <w:abstractNumId w:val="23"/>
  </w:num>
  <w:num w:numId="18">
    <w:abstractNumId w:val="47"/>
  </w:num>
  <w:num w:numId="19">
    <w:abstractNumId w:val="13"/>
  </w:num>
  <w:num w:numId="20">
    <w:abstractNumId w:val="9"/>
  </w:num>
  <w:num w:numId="21">
    <w:abstractNumId w:val="25"/>
  </w:num>
  <w:num w:numId="22">
    <w:abstractNumId w:val="56"/>
  </w:num>
  <w:num w:numId="23">
    <w:abstractNumId w:val="0"/>
  </w:num>
  <w:num w:numId="24">
    <w:abstractNumId w:val="53"/>
  </w:num>
  <w:num w:numId="25">
    <w:abstractNumId w:val="35"/>
  </w:num>
  <w:num w:numId="26">
    <w:abstractNumId w:val="1"/>
  </w:num>
  <w:num w:numId="27">
    <w:abstractNumId w:val="30"/>
  </w:num>
  <w:num w:numId="28">
    <w:abstractNumId w:val="27"/>
  </w:num>
  <w:num w:numId="29">
    <w:abstractNumId w:val="8"/>
  </w:num>
  <w:num w:numId="30">
    <w:abstractNumId w:val="16"/>
  </w:num>
  <w:num w:numId="31">
    <w:abstractNumId w:val="34"/>
  </w:num>
  <w:num w:numId="32">
    <w:abstractNumId w:val="51"/>
  </w:num>
  <w:num w:numId="33">
    <w:abstractNumId w:val="60"/>
  </w:num>
  <w:num w:numId="34">
    <w:abstractNumId w:val="11"/>
  </w:num>
  <w:num w:numId="35">
    <w:abstractNumId w:val="59"/>
  </w:num>
  <w:num w:numId="36">
    <w:abstractNumId w:val="4"/>
  </w:num>
  <w:num w:numId="37">
    <w:abstractNumId w:val="33"/>
  </w:num>
  <w:num w:numId="38">
    <w:abstractNumId w:val="36"/>
  </w:num>
  <w:num w:numId="39">
    <w:abstractNumId w:val="10"/>
  </w:num>
  <w:num w:numId="40">
    <w:abstractNumId w:val="2"/>
  </w:num>
  <w:num w:numId="41">
    <w:abstractNumId w:val="24"/>
  </w:num>
  <w:num w:numId="42">
    <w:abstractNumId w:val="12"/>
  </w:num>
  <w:num w:numId="43">
    <w:abstractNumId w:val="3"/>
  </w:num>
  <w:num w:numId="44">
    <w:abstractNumId w:val="21"/>
  </w:num>
  <w:num w:numId="45">
    <w:abstractNumId w:val="49"/>
  </w:num>
  <w:num w:numId="46">
    <w:abstractNumId w:val="6"/>
  </w:num>
  <w:num w:numId="47">
    <w:abstractNumId w:val="41"/>
  </w:num>
  <w:num w:numId="48">
    <w:abstractNumId w:val="54"/>
  </w:num>
  <w:num w:numId="49">
    <w:abstractNumId w:val="58"/>
  </w:num>
  <w:num w:numId="50">
    <w:abstractNumId w:val="39"/>
  </w:num>
  <w:num w:numId="51">
    <w:abstractNumId w:val="55"/>
  </w:num>
  <w:num w:numId="52">
    <w:abstractNumId w:val="7"/>
  </w:num>
  <w:num w:numId="53">
    <w:abstractNumId w:val="48"/>
  </w:num>
  <w:num w:numId="54">
    <w:abstractNumId w:val="45"/>
  </w:num>
  <w:num w:numId="55">
    <w:abstractNumId w:val="52"/>
  </w:num>
  <w:num w:numId="56">
    <w:abstractNumId w:val="19"/>
  </w:num>
  <w:num w:numId="57">
    <w:abstractNumId w:val="42"/>
  </w:num>
  <w:num w:numId="58">
    <w:abstractNumId w:val="38"/>
  </w:num>
  <w:num w:numId="59">
    <w:abstractNumId w:val="17"/>
  </w:num>
  <w:num w:numId="60">
    <w:abstractNumId w:val="26"/>
  </w:num>
  <w:num w:numId="61">
    <w:abstractNumId w:val="57"/>
  </w:num>
  <w:num w:numId="62">
    <w:abstractNumId w:val="1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0E2E"/>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0E2E"/>
    <w:pPr>
      <w:spacing w:after="120"/>
    </w:pPr>
  </w:style>
  <w:style w:type="character" w:customStyle="1" w:styleId="af6">
    <w:name w:val="正文文本 字符"/>
    <w:basedOn w:val="a0"/>
    <w:link w:val="af5"/>
    <w:uiPriority w:val="99"/>
    <w:rsid w:val="00D20E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72648-3D53-4943-B942-0C8DC8ED6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2026-09-17T22:15:00Z</dcterms:created>
  <dcterms:modified xsi:type="dcterms:W3CDTF">2026-09-17T22:15:00Z</dcterms:modified>
</cp:coreProperties>
</file>