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879B636" w:rsidR="0049405C" w:rsidRPr="00C24D79" w:rsidRDefault="005C2BC8" w:rsidP="005C2BC8">
            <w:pPr>
              <w:spacing w:line="720" w:lineRule="auto"/>
              <w:rPr>
                <w:rFonts w:eastAsiaTheme="minorHAnsi"/>
                <w:color w:val="545551"/>
              </w:rPr>
            </w:pPr>
            <w:bookmarkStart w:id="0" w:name="xingming"/>
            <w:bookmarkStart w:id="1" w:name="_GoBack"/>
            <w:bookmarkEnd w:id="1"/>
            <w:r w:rsidRPr="005C2BC8">
              <w:rPr>
                <w:rFonts w:ascii="等线" w:eastAsia="等线" w:hAnsi="Times New Roman"/>
                <w:b/>
                <w:color w:val="000000"/>
                <w:sz w:val="48"/>
              </w:rPr>
              <w:t>DORIS TANG</w:t>
            </w:r>
            <w:bookmarkEnd w:id="0"/>
          </w:p>
          <w:p w14:paraId="706EB16B" w14:textId="20501168" w:rsidR="0049405C" w:rsidRPr="00C24D79" w:rsidRDefault="005C2BC8" w:rsidP="005C2BC8">
            <w:pPr>
              <w:spacing w:line="360" w:lineRule="auto"/>
              <w:rPr>
                <w:rFonts w:eastAsiaTheme="minorHAnsi"/>
                <w:b/>
                <w:bCs/>
                <w:color w:val="545551"/>
              </w:rPr>
            </w:pPr>
            <w:bookmarkStart w:id="2" w:name="didian"/>
            <w:r w:rsidRPr="005C2BC8">
              <w:rPr>
                <w:rFonts w:ascii="等线" w:eastAsia="等线" w:hAnsi="Times New Roman"/>
                <w:b/>
                <w:bCs/>
                <w:color w:val="000000"/>
              </w:rPr>
              <w:t>Partner</w:t>
            </w:r>
            <w:r w:rsidRPr="005C2BC8">
              <w:rPr>
                <w:rFonts w:ascii="等线" w:eastAsia="等线" w:hAnsi="Times New Roman"/>
                <w:b/>
                <w:bCs/>
                <w:color w:val="000000"/>
              </w:rPr>
              <w:t>·</w:t>
            </w:r>
            <w:r w:rsidRPr="005C2BC8">
              <w:rPr>
                <w:rFonts w:ascii="等线" w:eastAsia="等线" w:hAnsi="Times New Roman"/>
                <w:b/>
                <w:bCs/>
                <w:color w:val="000000"/>
              </w:rPr>
              <w:t>Shanghai</w:t>
            </w:r>
            <w:bookmarkEnd w:id="2"/>
          </w:p>
          <w:p w14:paraId="6199424A" w14:textId="3AB889D0" w:rsidR="0049405C" w:rsidRPr="00C24D79" w:rsidRDefault="005C2BC8" w:rsidP="005C2BC8">
            <w:pPr>
              <w:spacing w:line="360" w:lineRule="auto"/>
              <w:rPr>
                <w:rFonts w:eastAsiaTheme="minorHAnsi"/>
                <w:color w:val="545551"/>
              </w:rPr>
            </w:pPr>
            <w:bookmarkStart w:id="3" w:name="dianhua"/>
            <w:r w:rsidRPr="005C2BC8">
              <w:rPr>
                <w:rFonts w:ascii="等线" w:eastAsia="等线" w:hAnsi="Times New Roman"/>
                <w:color w:val="000000"/>
              </w:rPr>
              <w:t xml:space="preserve">+86 21 2208 1017 </w:t>
            </w:r>
            <w:bookmarkEnd w:id="3"/>
          </w:p>
          <w:p w14:paraId="4F910ACA" w14:textId="548BD1E5" w:rsidR="0049405C" w:rsidRPr="00C24D79" w:rsidRDefault="005C2BC8" w:rsidP="005C2BC8">
            <w:pPr>
              <w:spacing w:line="360" w:lineRule="auto"/>
              <w:rPr>
                <w:rFonts w:eastAsiaTheme="minorHAnsi"/>
                <w:color w:val="000000"/>
              </w:rPr>
            </w:pPr>
            <w:bookmarkStart w:id="4" w:name="youxiang"/>
            <w:r w:rsidRPr="005C2BC8">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3BCFBE4" w:rsidR="0049405C" w:rsidRPr="00C24D79" w:rsidRDefault="005C2BC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181EB0" wp14:editId="6716309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001629" w:rsidR="009465FB" w:rsidRPr="00C24D79" w:rsidRDefault="005C2BC8" w:rsidP="007177F3">
            <w:pPr>
              <w:rPr>
                <w:rFonts w:eastAsiaTheme="minorHAnsi"/>
                <w:color w:val="000000"/>
                <w:szCs w:val="21"/>
              </w:rPr>
            </w:pPr>
            <w:bookmarkStart w:id="6" w:name="zhiyelingyu"/>
            <w:r w:rsidRPr="005C2BC8">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7F76DB" w14:textId="77777777" w:rsidR="005C2BC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60B628" w14:textId="77777777" w:rsidR="005C2BC8" w:rsidRDefault="005C2BC8" w:rsidP="005C2BC8">
      <w:pPr>
        <w:pStyle w:val="af5"/>
        <w:spacing w:after="0" w:line="480" w:lineRule="auto"/>
        <w:rPr>
          <w:rFonts w:ascii="等线" w:eastAsia="等线" w:hAnsi="等线"/>
          <w:b/>
          <w:sz w:val="24"/>
        </w:rPr>
      </w:pPr>
      <w:r w:rsidRPr="005C2BC8">
        <w:rPr>
          <w:rFonts w:ascii="等线" w:eastAsia="等线" w:hAnsi="等线"/>
          <w:b/>
          <w:sz w:val="24"/>
        </w:rPr>
        <w:t>REPRESENTATIVE MATTERS AND CASES</w:t>
      </w:r>
    </w:p>
    <w:p w14:paraId="64DC6C5F" w14:textId="77777777" w:rsidR="005C2BC8" w:rsidRDefault="005C2BC8" w:rsidP="005C2BC8">
      <w:pPr>
        <w:pStyle w:val="af5"/>
        <w:spacing w:before="120"/>
        <w:rPr>
          <w:rFonts w:ascii="等线" w:eastAsia="等线" w:hAnsi="Times New Roman"/>
          <w:color w:val="000000"/>
        </w:rPr>
      </w:pPr>
    </w:p>
    <w:p w14:paraId="0CAF37BA" w14:textId="77777777" w:rsidR="005C2BC8" w:rsidRDefault="005C2BC8" w:rsidP="005C2BC8">
      <w:pPr>
        <w:pStyle w:val="af5"/>
        <w:numPr>
          <w:ilvl w:val="0"/>
          <w:numId w:val="4"/>
        </w:numPr>
        <w:spacing w:before="120"/>
        <w:ind w:left="690" w:hanging="240"/>
        <w:rPr>
          <w:rFonts w:ascii="等线" w:eastAsia="等线" w:hAnsi="Times New Roman"/>
          <w:color w:val="000000"/>
        </w:rPr>
      </w:pPr>
      <w:r w:rsidRPr="005C2BC8">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3590E7D1" w14:textId="77777777" w:rsidR="005C2BC8" w:rsidRDefault="005C2BC8" w:rsidP="005C2BC8">
      <w:pPr>
        <w:pStyle w:val="af5"/>
        <w:numPr>
          <w:ilvl w:val="0"/>
          <w:numId w:val="5"/>
        </w:numPr>
        <w:spacing w:before="120"/>
        <w:ind w:left="690" w:hanging="240"/>
        <w:rPr>
          <w:rFonts w:ascii="等线" w:eastAsia="等线" w:hAnsi="Times New Roman"/>
          <w:color w:val="000000"/>
        </w:rPr>
      </w:pPr>
      <w:r w:rsidRPr="005C2BC8">
        <w:rPr>
          <w:rFonts w:ascii="等线" w:eastAsia="等线" w:hAnsi="Times New Roman"/>
          <w:color w:val="000000"/>
        </w:rPr>
        <w:t>Represented Budweiser Brewing Company APAC Limited in its initial public offering and listing on the Hong Kong Stock Exchange</w:t>
      </w:r>
    </w:p>
    <w:p w14:paraId="03CF631E" w14:textId="77777777" w:rsidR="005C2BC8" w:rsidRDefault="005C2BC8" w:rsidP="005C2BC8">
      <w:pPr>
        <w:pStyle w:val="af5"/>
        <w:numPr>
          <w:ilvl w:val="0"/>
          <w:numId w:val="6"/>
        </w:numPr>
        <w:spacing w:before="120"/>
        <w:ind w:left="690" w:hanging="240"/>
        <w:rPr>
          <w:rFonts w:ascii="等线" w:eastAsia="等线" w:hAnsi="Times New Roman"/>
          <w:color w:val="000000"/>
        </w:rPr>
      </w:pPr>
      <w:r w:rsidRPr="005C2BC8">
        <w:rPr>
          <w:rFonts w:ascii="等线" w:eastAsia="等线" w:hAnsi="Times New Roman"/>
          <w:color w:val="000000"/>
        </w:rPr>
        <w:t>Represented the sponsor in the initial public offering of Activation Group on the Hong Kong Stock Exchange</w:t>
      </w:r>
    </w:p>
    <w:p w14:paraId="0B1764F9" w14:textId="77777777" w:rsidR="005C2BC8" w:rsidRDefault="005C2BC8" w:rsidP="005C2BC8">
      <w:pPr>
        <w:pStyle w:val="af5"/>
        <w:numPr>
          <w:ilvl w:val="0"/>
          <w:numId w:val="7"/>
        </w:numPr>
        <w:spacing w:before="120"/>
        <w:ind w:left="690" w:hanging="240"/>
        <w:rPr>
          <w:rFonts w:ascii="等线" w:eastAsia="等线" w:hAnsi="Times New Roman"/>
          <w:color w:val="000000"/>
        </w:rPr>
      </w:pPr>
      <w:r w:rsidRPr="005C2BC8">
        <w:rPr>
          <w:rFonts w:ascii="等线" w:eastAsia="等线" w:hAnsi="Times New Roman"/>
          <w:color w:val="000000"/>
        </w:rPr>
        <w:t>Represented Liulishuo.com, a leading AI education service provider, in its initial public offering and listing on the New York Stock Exchange in 2018</w:t>
      </w:r>
    </w:p>
    <w:p w14:paraId="1D6A3B13" w14:textId="77777777" w:rsidR="005C2BC8" w:rsidRDefault="005C2BC8" w:rsidP="005C2BC8">
      <w:pPr>
        <w:pStyle w:val="af5"/>
        <w:numPr>
          <w:ilvl w:val="0"/>
          <w:numId w:val="8"/>
        </w:numPr>
        <w:spacing w:before="120"/>
        <w:ind w:left="690" w:hanging="240"/>
        <w:rPr>
          <w:rFonts w:ascii="等线" w:eastAsia="等线" w:hAnsi="Times New Roman"/>
          <w:color w:val="000000"/>
        </w:rPr>
      </w:pPr>
      <w:r w:rsidRPr="005C2BC8">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6A0F1CA1" w14:textId="77777777" w:rsidR="005C2BC8" w:rsidRDefault="005C2BC8" w:rsidP="005C2BC8">
      <w:pPr>
        <w:pStyle w:val="af5"/>
        <w:numPr>
          <w:ilvl w:val="0"/>
          <w:numId w:val="9"/>
        </w:numPr>
        <w:spacing w:before="120"/>
        <w:ind w:left="690" w:hanging="240"/>
        <w:rPr>
          <w:rFonts w:ascii="等线" w:eastAsia="等线" w:hAnsi="Times New Roman"/>
          <w:color w:val="000000"/>
        </w:rPr>
      </w:pPr>
      <w:r w:rsidRPr="005C2BC8">
        <w:rPr>
          <w:rFonts w:ascii="等线" w:eastAsia="等线" w:hAnsi="Times New Roman"/>
          <w:color w:val="000000"/>
        </w:rPr>
        <w:t>Represented the underwriters in the initial public offering of Zai Lab Limited and its listing on the NASDAQ</w:t>
      </w:r>
    </w:p>
    <w:p w14:paraId="3EC57E84" w14:textId="77777777" w:rsidR="005C2BC8" w:rsidRDefault="005C2BC8" w:rsidP="005C2BC8">
      <w:pPr>
        <w:pStyle w:val="af5"/>
        <w:numPr>
          <w:ilvl w:val="0"/>
          <w:numId w:val="10"/>
        </w:numPr>
        <w:spacing w:before="120"/>
        <w:ind w:left="690" w:hanging="240"/>
        <w:rPr>
          <w:rFonts w:ascii="等线" w:eastAsia="等线" w:hAnsi="Times New Roman"/>
          <w:color w:val="000000"/>
        </w:rPr>
      </w:pPr>
      <w:r w:rsidRPr="005C2BC8">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4A642ED7" w14:textId="77777777" w:rsidR="005C2BC8" w:rsidRDefault="005C2BC8" w:rsidP="005C2BC8">
      <w:pPr>
        <w:pStyle w:val="af5"/>
        <w:numPr>
          <w:ilvl w:val="0"/>
          <w:numId w:val="11"/>
        </w:numPr>
        <w:spacing w:before="120"/>
        <w:ind w:left="690" w:hanging="240"/>
        <w:rPr>
          <w:rFonts w:ascii="等线" w:eastAsia="等线" w:hAnsi="Times New Roman"/>
          <w:color w:val="000000"/>
        </w:rPr>
      </w:pPr>
      <w:r w:rsidRPr="005C2BC8">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01CD1E9E" w14:textId="77777777" w:rsidR="005C2BC8" w:rsidRDefault="005C2BC8" w:rsidP="005C2BC8">
      <w:pPr>
        <w:pStyle w:val="af5"/>
        <w:numPr>
          <w:ilvl w:val="0"/>
          <w:numId w:val="12"/>
        </w:numPr>
        <w:spacing w:before="120"/>
        <w:ind w:left="690" w:hanging="240"/>
        <w:rPr>
          <w:rFonts w:ascii="等线" w:eastAsia="等线" w:hAnsi="Times New Roman"/>
          <w:color w:val="000000"/>
        </w:rPr>
      </w:pPr>
      <w:r w:rsidRPr="005C2BC8">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5F82C045" w14:textId="77777777" w:rsidR="005C2BC8" w:rsidRDefault="005C2BC8" w:rsidP="005C2BC8">
      <w:pPr>
        <w:pStyle w:val="af5"/>
        <w:numPr>
          <w:ilvl w:val="0"/>
          <w:numId w:val="13"/>
        </w:numPr>
        <w:spacing w:before="120"/>
        <w:ind w:left="690" w:hanging="240"/>
        <w:rPr>
          <w:rFonts w:ascii="等线" w:eastAsia="等线" w:hAnsi="Times New Roman"/>
          <w:color w:val="000000"/>
        </w:rPr>
      </w:pPr>
      <w:r w:rsidRPr="005C2BC8">
        <w:rPr>
          <w:rFonts w:ascii="等线" w:eastAsia="等线" w:hAnsi="Times New Roman"/>
          <w:color w:val="000000"/>
        </w:rPr>
        <w:t>Represented Morgan Stanley in the secondary offering and listing of Fast Retailing (Uniqlo) on the Main Board of The Stock Exchange of Hong Kong Limited</w:t>
      </w:r>
    </w:p>
    <w:p w14:paraId="7037B89A" w14:textId="77777777" w:rsidR="005C2BC8" w:rsidRDefault="005C2BC8" w:rsidP="005C2BC8">
      <w:pPr>
        <w:pStyle w:val="af5"/>
        <w:numPr>
          <w:ilvl w:val="0"/>
          <w:numId w:val="14"/>
        </w:numPr>
        <w:spacing w:before="120"/>
        <w:ind w:left="690" w:hanging="240"/>
        <w:rPr>
          <w:rFonts w:ascii="等线" w:eastAsia="等线" w:hAnsi="Times New Roman"/>
          <w:color w:val="000000"/>
        </w:rPr>
      </w:pPr>
      <w:r w:rsidRPr="005C2BC8">
        <w:rPr>
          <w:rFonts w:ascii="等线" w:eastAsia="等线" w:hAnsi="Times New Roman"/>
          <w:color w:val="000000"/>
        </w:rPr>
        <w:t>Represented Credit Suisse and China Renaissance in the capacity as underwriters</w:t>
      </w:r>
      <w:r w:rsidRPr="005C2BC8">
        <w:rPr>
          <w:rFonts w:ascii="等线" w:eastAsia="等线" w:hAnsi="Times New Roman"/>
          <w:color w:val="000000"/>
        </w:rPr>
        <w:t>’</w:t>
      </w:r>
      <w:r w:rsidRPr="005C2BC8">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7BEFB8BE" w14:textId="77777777" w:rsidR="005C2BC8" w:rsidRDefault="005C2BC8" w:rsidP="005C2BC8">
      <w:pPr>
        <w:pStyle w:val="af5"/>
        <w:numPr>
          <w:ilvl w:val="0"/>
          <w:numId w:val="15"/>
        </w:numPr>
        <w:spacing w:before="120"/>
        <w:ind w:left="690" w:hanging="240"/>
        <w:rPr>
          <w:rFonts w:ascii="等线" w:eastAsia="等线" w:hAnsi="Times New Roman"/>
          <w:color w:val="000000"/>
        </w:rPr>
      </w:pPr>
      <w:r w:rsidRPr="005C2BC8">
        <w:rPr>
          <w:rFonts w:ascii="等线" w:eastAsia="等线" w:hAnsi="Times New Roman"/>
          <w:color w:val="000000"/>
        </w:rPr>
        <w:t>Represented Alibaba Group in over 30 venture capital and private equity projects in which Alibaba invested in companies in telecommunications and related industries</w:t>
      </w:r>
    </w:p>
    <w:p w14:paraId="1AA9F36E" w14:textId="77777777" w:rsidR="005C2BC8" w:rsidRDefault="005C2BC8" w:rsidP="005C2BC8">
      <w:pPr>
        <w:pStyle w:val="af5"/>
        <w:numPr>
          <w:ilvl w:val="0"/>
          <w:numId w:val="16"/>
        </w:numPr>
        <w:spacing w:before="120"/>
        <w:ind w:left="690" w:hanging="240"/>
        <w:rPr>
          <w:rFonts w:ascii="等线" w:eastAsia="等线" w:hAnsi="Times New Roman"/>
          <w:color w:val="000000"/>
        </w:rPr>
      </w:pPr>
      <w:r w:rsidRPr="005C2BC8">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59EE3D5B" w14:textId="77777777" w:rsidR="005C2BC8" w:rsidRDefault="005C2BC8" w:rsidP="005C2BC8">
      <w:pPr>
        <w:pStyle w:val="af5"/>
        <w:numPr>
          <w:ilvl w:val="0"/>
          <w:numId w:val="17"/>
        </w:numPr>
        <w:spacing w:before="120"/>
        <w:ind w:left="690" w:hanging="240"/>
        <w:rPr>
          <w:rFonts w:ascii="等线" w:eastAsia="等线" w:hAnsi="Times New Roman"/>
          <w:color w:val="000000"/>
        </w:rPr>
      </w:pPr>
      <w:r w:rsidRPr="005C2BC8">
        <w:rPr>
          <w:rFonts w:ascii="等线" w:eastAsia="等线" w:hAnsi="Times New Roman"/>
          <w:color w:val="000000"/>
        </w:rPr>
        <w:t>Acted for Tudou.com as its PRC counsel for its initial public offering and listing on the NASDAQ, and its merger with Youku.com and advised on daily corporate matters</w:t>
      </w:r>
    </w:p>
    <w:p w14:paraId="3B7ADD2C" w14:textId="77777777" w:rsidR="005C2BC8" w:rsidRDefault="005C2BC8" w:rsidP="005C2BC8">
      <w:pPr>
        <w:pStyle w:val="af5"/>
        <w:numPr>
          <w:ilvl w:val="0"/>
          <w:numId w:val="18"/>
        </w:numPr>
        <w:spacing w:before="120"/>
        <w:ind w:left="690" w:hanging="240"/>
        <w:rPr>
          <w:rFonts w:ascii="等线" w:eastAsia="等线" w:hAnsi="Times New Roman"/>
          <w:color w:val="000000"/>
        </w:rPr>
      </w:pPr>
      <w:r w:rsidRPr="005C2BC8">
        <w:rPr>
          <w:rFonts w:ascii="等线" w:eastAsia="等线" w:hAnsi="Times New Roman"/>
          <w:color w:val="000000"/>
        </w:rPr>
        <w:t>Represented investors led by Baring in the delisting from the New York Stock Exchange and privatization of Giant Interactive Group Inc.</w:t>
      </w:r>
    </w:p>
    <w:p w14:paraId="1315C746" w14:textId="77777777" w:rsidR="005C2BC8" w:rsidRDefault="005C2BC8" w:rsidP="005C2BC8">
      <w:pPr>
        <w:pStyle w:val="af5"/>
        <w:numPr>
          <w:ilvl w:val="0"/>
          <w:numId w:val="19"/>
        </w:numPr>
        <w:spacing w:before="120"/>
        <w:ind w:left="690" w:hanging="240"/>
        <w:rPr>
          <w:rFonts w:ascii="等线" w:eastAsia="等线" w:hAnsi="Times New Roman"/>
          <w:color w:val="000000"/>
        </w:rPr>
      </w:pPr>
      <w:r w:rsidRPr="005C2BC8">
        <w:rPr>
          <w:rFonts w:ascii="等线" w:eastAsia="等线" w:hAnsi="Times New Roman"/>
          <w:color w:val="000000"/>
        </w:rPr>
        <w:t>Advised City Development Limited in its investment in mamahome.com, an online platform for serviced apartment booking</w:t>
      </w:r>
    </w:p>
    <w:p w14:paraId="7742009B" w14:textId="77777777" w:rsidR="005C2BC8" w:rsidRDefault="005C2BC8" w:rsidP="005C2BC8">
      <w:pPr>
        <w:pStyle w:val="af5"/>
        <w:numPr>
          <w:ilvl w:val="0"/>
          <w:numId w:val="20"/>
        </w:numPr>
        <w:spacing w:before="120"/>
        <w:ind w:left="690" w:hanging="240"/>
        <w:rPr>
          <w:rFonts w:ascii="等线" w:eastAsia="等线" w:hAnsi="Times New Roman"/>
          <w:color w:val="000000"/>
        </w:rPr>
      </w:pPr>
      <w:r w:rsidRPr="005C2BC8">
        <w:rPr>
          <w:rFonts w:ascii="等线" w:eastAsia="等线" w:hAnsi="Times New Roman"/>
          <w:color w:val="000000"/>
        </w:rPr>
        <w:t>Represented Idealsee, a leading VR developer in China, in its reorganization</w:t>
      </w:r>
    </w:p>
    <w:p w14:paraId="2B6D5C66" w14:textId="77777777" w:rsidR="005C2BC8" w:rsidRDefault="005C2BC8" w:rsidP="005C2BC8">
      <w:pPr>
        <w:pStyle w:val="af5"/>
        <w:numPr>
          <w:ilvl w:val="0"/>
          <w:numId w:val="21"/>
        </w:numPr>
        <w:spacing w:before="120"/>
        <w:ind w:left="690" w:hanging="240"/>
        <w:rPr>
          <w:rFonts w:ascii="等线" w:eastAsia="等线" w:hAnsi="Times New Roman"/>
          <w:color w:val="000000"/>
        </w:rPr>
      </w:pPr>
      <w:r w:rsidRPr="005C2BC8">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0044302F" w14:textId="77777777" w:rsidR="005C2BC8" w:rsidRDefault="005C2BC8" w:rsidP="005C2BC8">
      <w:pPr>
        <w:pStyle w:val="af5"/>
        <w:numPr>
          <w:ilvl w:val="0"/>
          <w:numId w:val="22"/>
        </w:numPr>
        <w:spacing w:before="120"/>
        <w:ind w:left="690" w:hanging="240"/>
        <w:rPr>
          <w:rFonts w:ascii="等线" w:eastAsia="等线" w:hAnsi="Times New Roman"/>
          <w:color w:val="000000"/>
        </w:rPr>
      </w:pPr>
      <w:r w:rsidRPr="005C2BC8">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7EBCC0B1" w14:textId="77777777" w:rsidR="005C2BC8" w:rsidRDefault="005C2BC8" w:rsidP="005C2BC8">
      <w:pPr>
        <w:pStyle w:val="af5"/>
        <w:numPr>
          <w:ilvl w:val="0"/>
          <w:numId w:val="23"/>
        </w:numPr>
        <w:spacing w:before="120"/>
        <w:ind w:left="690" w:hanging="240"/>
        <w:rPr>
          <w:rFonts w:ascii="等线" w:eastAsia="等线" w:hAnsi="Times New Roman"/>
          <w:color w:val="000000"/>
        </w:rPr>
      </w:pPr>
      <w:r w:rsidRPr="005C2BC8">
        <w:rPr>
          <w:rFonts w:ascii="等线" w:eastAsia="等线" w:hAnsi="Times New Roman"/>
          <w:color w:val="000000"/>
        </w:rPr>
        <w:t>Represented Alibaba.com Limited as issuer</w:t>
      </w:r>
      <w:r w:rsidRPr="005C2BC8">
        <w:rPr>
          <w:rFonts w:ascii="等线" w:eastAsia="等线" w:hAnsi="Times New Roman"/>
          <w:color w:val="000000"/>
        </w:rPr>
        <w:t>’</w:t>
      </w:r>
      <w:r w:rsidRPr="005C2BC8">
        <w:rPr>
          <w:rFonts w:ascii="等线" w:eastAsia="等线" w:hAnsi="Times New Roman"/>
          <w:color w:val="000000"/>
        </w:rPr>
        <w:t>s PRC counsel in its initial public offering on The Stock Exchange of Hong Kong Limited</w:t>
      </w:r>
    </w:p>
    <w:p w14:paraId="31C9198B" w14:textId="77777777" w:rsidR="005C2BC8" w:rsidRDefault="005C2BC8" w:rsidP="005C2BC8">
      <w:pPr>
        <w:pStyle w:val="af5"/>
        <w:numPr>
          <w:ilvl w:val="0"/>
          <w:numId w:val="24"/>
        </w:numPr>
        <w:spacing w:before="120"/>
        <w:ind w:left="690" w:hanging="240"/>
        <w:rPr>
          <w:rFonts w:ascii="等线" w:eastAsia="等线" w:hAnsi="Times New Roman"/>
          <w:color w:val="000000"/>
        </w:rPr>
      </w:pPr>
      <w:r w:rsidRPr="005C2BC8">
        <w:rPr>
          <w:rFonts w:ascii="等线" w:eastAsia="等线" w:hAnsi="Times New Roman"/>
          <w:color w:val="000000"/>
        </w:rPr>
        <w:t>Represented Publicis Groupe in its acquisition of Razorfish from Microsoft</w:t>
      </w:r>
    </w:p>
    <w:p w14:paraId="2DBD1983" w14:textId="77777777" w:rsidR="005C2BC8" w:rsidRDefault="005C2BC8" w:rsidP="005C2BC8">
      <w:pPr>
        <w:pStyle w:val="af5"/>
        <w:numPr>
          <w:ilvl w:val="0"/>
          <w:numId w:val="25"/>
        </w:numPr>
        <w:spacing w:before="120"/>
        <w:ind w:left="690" w:hanging="240"/>
        <w:rPr>
          <w:rFonts w:ascii="等线" w:eastAsia="等线" w:hAnsi="Times New Roman"/>
          <w:color w:val="000000"/>
        </w:rPr>
      </w:pPr>
      <w:r w:rsidRPr="005C2BC8">
        <w:rPr>
          <w:rFonts w:ascii="等线" w:eastAsia="等线" w:hAnsi="Times New Roman"/>
          <w:color w:val="000000"/>
        </w:rPr>
        <w:t>Represented Allyes, a leading online advertising services provider, and the seller in Silverlake</w:t>
      </w:r>
      <w:r w:rsidRPr="005C2BC8">
        <w:rPr>
          <w:rFonts w:ascii="等线" w:eastAsia="等线" w:hAnsi="Times New Roman"/>
          <w:color w:val="000000"/>
        </w:rPr>
        <w:t>’</w:t>
      </w:r>
      <w:r w:rsidRPr="005C2BC8">
        <w:rPr>
          <w:rFonts w:ascii="等线" w:eastAsia="等线" w:hAnsi="Times New Roman"/>
          <w:color w:val="000000"/>
        </w:rPr>
        <w:t>s acquisition of Allyes</w:t>
      </w:r>
    </w:p>
    <w:p w14:paraId="0B38B7E9" w14:textId="77777777" w:rsidR="005C2BC8" w:rsidRDefault="005C2BC8" w:rsidP="005C2BC8">
      <w:pPr>
        <w:pStyle w:val="af5"/>
        <w:numPr>
          <w:ilvl w:val="0"/>
          <w:numId w:val="26"/>
        </w:numPr>
        <w:spacing w:before="120"/>
        <w:ind w:left="690" w:hanging="240"/>
        <w:rPr>
          <w:rFonts w:ascii="等线" w:eastAsia="等线" w:hAnsi="Times New Roman"/>
          <w:color w:val="000000"/>
        </w:rPr>
      </w:pPr>
      <w:r w:rsidRPr="005C2BC8">
        <w:rPr>
          <w:rFonts w:ascii="等线" w:eastAsia="等线" w:hAnsi="Times New Roman"/>
          <w:color w:val="000000"/>
        </w:rPr>
        <w:t>Represented Focus Media and acted as the issuer</w:t>
      </w:r>
      <w:r w:rsidRPr="005C2BC8">
        <w:rPr>
          <w:rFonts w:ascii="等线" w:eastAsia="等线" w:hAnsi="Times New Roman"/>
          <w:color w:val="000000"/>
        </w:rPr>
        <w:t>’</w:t>
      </w:r>
      <w:r w:rsidRPr="005C2BC8">
        <w:rPr>
          <w:rFonts w:ascii="等线" w:eastAsia="等线" w:hAnsi="Times New Roman"/>
          <w:color w:val="000000"/>
        </w:rPr>
        <w:t>s counsel in the initial public offering and follow-on offering of Focus Media Holding Limited on the NASDAQ</w:t>
      </w:r>
    </w:p>
    <w:p w14:paraId="4671189A" w14:textId="77777777" w:rsidR="005C2BC8" w:rsidRDefault="005C2BC8" w:rsidP="005C2BC8">
      <w:pPr>
        <w:pStyle w:val="af5"/>
        <w:numPr>
          <w:ilvl w:val="0"/>
          <w:numId w:val="27"/>
        </w:numPr>
        <w:spacing w:before="120"/>
        <w:ind w:left="690" w:hanging="240"/>
        <w:rPr>
          <w:rFonts w:ascii="等线" w:eastAsia="等线" w:hAnsi="Times New Roman"/>
          <w:color w:val="000000"/>
        </w:rPr>
      </w:pPr>
      <w:r w:rsidRPr="005C2BC8">
        <w:rPr>
          <w:rFonts w:ascii="等线" w:eastAsia="等线" w:hAnsi="Times New Roman"/>
          <w:color w:val="000000"/>
        </w:rPr>
        <w:t>Provided daily legal services to clients, such as Alibaba, Ubisoft, Phillip, Tata Telecommunications, etc., in various industries, especially in TMT sectors</w:t>
      </w:r>
    </w:p>
    <w:p w14:paraId="4F383D68" w14:textId="77777777" w:rsidR="005C2BC8" w:rsidRDefault="005C2BC8" w:rsidP="005C2BC8">
      <w:pPr>
        <w:pStyle w:val="af5"/>
        <w:spacing w:after="0" w:line="480" w:lineRule="auto"/>
        <w:rPr>
          <w:rFonts w:ascii="等线" w:eastAsia="等线" w:hAnsi="等线"/>
          <w:b/>
          <w:sz w:val="24"/>
        </w:rPr>
      </w:pPr>
      <w:r w:rsidRPr="005C2BC8">
        <w:rPr>
          <w:rFonts w:ascii="等线" w:eastAsia="等线" w:hAnsi="等线"/>
          <w:b/>
          <w:sz w:val="24"/>
        </w:rPr>
        <w:t>Professional Qualification</w:t>
      </w:r>
    </w:p>
    <w:p w14:paraId="008A8647" w14:textId="77777777" w:rsidR="005C2BC8" w:rsidRDefault="005C2BC8" w:rsidP="005C2BC8">
      <w:pPr>
        <w:pStyle w:val="af5"/>
        <w:numPr>
          <w:ilvl w:val="0"/>
          <w:numId w:val="28"/>
        </w:numPr>
        <w:spacing w:before="120"/>
        <w:ind w:left="690" w:hanging="240"/>
        <w:rPr>
          <w:rFonts w:ascii="等线" w:eastAsia="等线" w:hAnsi="Times New Roman"/>
          <w:color w:val="000000"/>
        </w:rPr>
      </w:pPr>
      <w:r w:rsidRPr="005C2BC8">
        <w:rPr>
          <w:rFonts w:ascii="等线" w:eastAsia="等线" w:hAnsi="Times New Roman"/>
          <w:color w:val="000000"/>
        </w:rPr>
        <w:t>Admitted to practice in the PRC</w:t>
      </w:r>
    </w:p>
    <w:p w14:paraId="46AC42AD" w14:textId="77777777" w:rsidR="005C2BC8" w:rsidRDefault="005C2BC8" w:rsidP="005C2BC8">
      <w:pPr>
        <w:pStyle w:val="af5"/>
        <w:spacing w:after="0" w:line="480" w:lineRule="auto"/>
        <w:rPr>
          <w:rFonts w:ascii="等线" w:eastAsia="等线" w:hAnsi="等线"/>
          <w:b/>
          <w:sz w:val="24"/>
        </w:rPr>
      </w:pPr>
      <w:r w:rsidRPr="005C2BC8">
        <w:rPr>
          <w:rFonts w:ascii="等线" w:eastAsia="等线" w:hAnsi="等线"/>
          <w:b/>
          <w:sz w:val="24"/>
        </w:rPr>
        <w:t>Professional Background</w:t>
      </w:r>
    </w:p>
    <w:p w14:paraId="5567FC3C" w14:textId="5986CD59" w:rsidR="00686369" w:rsidRPr="005C2BC8" w:rsidRDefault="005C2BC8" w:rsidP="005C2BC8">
      <w:pPr>
        <w:pStyle w:val="af5"/>
        <w:numPr>
          <w:ilvl w:val="0"/>
          <w:numId w:val="29"/>
        </w:numPr>
        <w:spacing w:before="120"/>
        <w:ind w:left="690" w:hanging="240"/>
        <w:rPr>
          <w:rFonts w:ascii="等线" w:eastAsia="等线" w:hAnsi="Times New Roman"/>
          <w:color w:val="000000"/>
        </w:rPr>
      </w:pPr>
      <w:r w:rsidRPr="005C2BC8">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5C2B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80C"/>
    <w:multiLevelType w:val="singleLevel"/>
    <w:tmpl w:val="72D4AB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E6418"/>
    <w:multiLevelType w:val="singleLevel"/>
    <w:tmpl w:val="D166F4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73F24"/>
    <w:multiLevelType w:val="singleLevel"/>
    <w:tmpl w:val="E75679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072E82"/>
    <w:multiLevelType w:val="singleLevel"/>
    <w:tmpl w:val="8F58CE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7A063E"/>
    <w:multiLevelType w:val="singleLevel"/>
    <w:tmpl w:val="94805A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02632E"/>
    <w:multiLevelType w:val="singleLevel"/>
    <w:tmpl w:val="031CAF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FE79C2"/>
    <w:multiLevelType w:val="singleLevel"/>
    <w:tmpl w:val="2EFE23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612E7"/>
    <w:multiLevelType w:val="singleLevel"/>
    <w:tmpl w:val="E51605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93D0C"/>
    <w:multiLevelType w:val="singleLevel"/>
    <w:tmpl w:val="470039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A89529E"/>
    <w:multiLevelType w:val="singleLevel"/>
    <w:tmpl w:val="B0BA70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456465"/>
    <w:multiLevelType w:val="singleLevel"/>
    <w:tmpl w:val="E01A05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D20A16"/>
    <w:multiLevelType w:val="singleLevel"/>
    <w:tmpl w:val="328811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9E065A"/>
    <w:multiLevelType w:val="singleLevel"/>
    <w:tmpl w:val="664862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EF54F6"/>
    <w:multiLevelType w:val="singleLevel"/>
    <w:tmpl w:val="520E7B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284819"/>
    <w:multiLevelType w:val="singleLevel"/>
    <w:tmpl w:val="C8CCC4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822275"/>
    <w:multiLevelType w:val="singleLevel"/>
    <w:tmpl w:val="9B20A5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9B5E37"/>
    <w:multiLevelType w:val="singleLevel"/>
    <w:tmpl w:val="02AE0A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9070F5"/>
    <w:multiLevelType w:val="singleLevel"/>
    <w:tmpl w:val="3E42D2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353EEA"/>
    <w:multiLevelType w:val="singleLevel"/>
    <w:tmpl w:val="D93ED4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9D27BA"/>
    <w:multiLevelType w:val="singleLevel"/>
    <w:tmpl w:val="B8AE7F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82355A"/>
    <w:multiLevelType w:val="singleLevel"/>
    <w:tmpl w:val="D0E0D1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7F633E"/>
    <w:multiLevelType w:val="singleLevel"/>
    <w:tmpl w:val="5858A2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D9469D"/>
    <w:multiLevelType w:val="singleLevel"/>
    <w:tmpl w:val="470039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AC1069"/>
    <w:multiLevelType w:val="singleLevel"/>
    <w:tmpl w:val="CD1A13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2C7F35"/>
    <w:multiLevelType w:val="singleLevel"/>
    <w:tmpl w:val="69A414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9C0047"/>
    <w:multiLevelType w:val="singleLevel"/>
    <w:tmpl w:val="191A52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FFD5862"/>
    <w:multiLevelType w:val="singleLevel"/>
    <w:tmpl w:val="B798F09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7"/>
  </w:num>
  <w:num w:numId="4">
    <w:abstractNumId w:val="28"/>
  </w:num>
  <w:num w:numId="5">
    <w:abstractNumId w:val="1"/>
  </w:num>
  <w:num w:numId="6">
    <w:abstractNumId w:val="2"/>
  </w:num>
  <w:num w:numId="7">
    <w:abstractNumId w:val="5"/>
  </w:num>
  <w:num w:numId="8">
    <w:abstractNumId w:val="17"/>
  </w:num>
  <w:num w:numId="9">
    <w:abstractNumId w:val="4"/>
  </w:num>
  <w:num w:numId="10">
    <w:abstractNumId w:val="22"/>
  </w:num>
  <w:num w:numId="11">
    <w:abstractNumId w:val="21"/>
  </w:num>
  <w:num w:numId="12">
    <w:abstractNumId w:val="13"/>
  </w:num>
  <w:num w:numId="13">
    <w:abstractNumId w:val="23"/>
  </w:num>
  <w:num w:numId="14">
    <w:abstractNumId w:val="10"/>
  </w:num>
  <w:num w:numId="15">
    <w:abstractNumId w:val="26"/>
  </w:num>
  <w:num w:numId="16">
    <w:abstractNumId w:val="18"/>
  </w:num>
  <w:num w:numId="17">
    <w:abstractNumId w:val="16"/>
  </w:num>
  <w:num w:numId="18">
    <w:abstractNumId w:val="19"/>
  </w:num>
  <w:num w:numId="19">
    <w:abstractNumId w:val="20"/>
  </w:num>
  <w:num w:numId="20">
    <w:abstractNumId w:val="14"/>
  </w:num>
  <w:num w:numId="21">
    <w:abstractNumId w:val="6"/>
  </w:num>
  <w:num w:numId="22">
    <w:abstractNumId w:val="0"/>
  </w:num>
  <w:num w:numId="23">
    <w:abstractNumId w:val="7"/>
  </w:num>
  <w:num w:numId="24">
    <w:abstractNumId w:val="15"/>
  </w:num>
  <w:num w:numId="25">
    <w:abstractNumId w:val="12"/>
  </w:num>
  <w:num w:numId="26">
    <w:abstractNumId w:val="3"/>
  </w:num>
  <w:num w:numId="27">
    <w:abstractNumId w:val="25"/>
  </w:num>
  <w:num w:numId="28">
    <w:abstractNumId w:val="24"/>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C2BC8"/>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2BC8"/>
    <w:pPr>
      <w:spacing w:after="120"/>
    </w:pPr>
  </w:style>
  <w:style w:type="character" w:customStyle="1" w:styleId="af6">
    <w:name w:val="正文文本 字符"/>
    <w:basedOn w:val="a0"/>
    <w:link w:val="af5"/>
    <w:uiPriority w:val="99"/>
    <w:rsid w:val="005C2B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E1C5C-ECB1-482C-8236-0CC52C996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2026-09-17T21:18:00Z</dcterms:created>
  <dcterms:modified xsi:type="dcterms:W3CDTF">2026-09-17T21:18:00Z</dcterms:modified>
</cp:coreProperties>
</file>