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626900E" w:rsidR="0049405C" w:rsidRPr="00C24D79" w:rsidRDefault="001A76D8" w:rsidP="001A76D8">
            <w:pPr>
              <w:spacing w:line="720" w:lineRule="auto"/>
              <w:rPr>
                <w:rFonts w:eastAsiaTheme="minorHAnsi"/>
                <w:color w:val="545551"/>
              </w:rPr>
            </w:pPr>
            <w:bookmarkStart w:id="0" w:name="xingming"/>
            <w:bookmarkStart w:id="1" w:name="_GoBack"/>
            <w:bookmarkEnd w:id="1"/>
            <w:r w:rsidRPr="001A76D8">
              <w:rPr>
                <w:rFonts w:ascii="等线" w:eastAsia="等线" w:hAnsi="Times New Roman"/>
                <w:b/>
                <w:color w:val="000000"/>
                <w:sz w:val="48"/>
              </w:rPr>
              <w:t>FANG QI</w:t>
            </w:r>
            <w:bookmarkEnd w:id="0"/>
          </w:p>
          <w:p w14:paraId="706EB16B" w14:textId="20714C5E" w:rsidR="0049405C" w:rsidRPr="00C24D79" w:rsidRDefault="001A76D8" w:rsidP="001A76D8">
            <w:pPr>
              <w:spacing w:line="360" w:lineRule="auto"/>
              <w:rPr>
                <w:rFonts w:eastAsiaTheme="minorHAnsi"/>
                <w:b/>
                <w:bCs/>
                <w:color w:val="545551"/>
              </w:rPr>
            </w:pPr>
            <w:bookmarkStart w:id="2" w:name="didian"/>
            <w:r w:rsidRPr="001A76D8">
              <w:rPr>
                <w:rFonts w:ascii="等线" w:eastAsia="等线" w:hAnsi="Times New Roman"/>
                <w:b/>
                <w:bCs/>
                <w:color w:val="000000"/>
              </w:rPr>
              <w:t>Partner</w:t>
            </w:r>
            <w:r w:rsidRPr="001A76D8">
              <w:rPr>
                <w:rFonts w:ascii="等线" w:eastAsia="等线" w:hAnsi="Times New Roman"/>
                <w:b/>
                <w:bCs/>
                <w:color w:val="000000"/>
              </w:rPr>
              <w:t>·</w:t>
            </w:r>
            <w:r w:rsidRPr="001A76D8">
              <w:rPr>
                <w:rFonts w:ascii="等线" w:eastAsia="等线" w:hAnsi="Times New Roman"/>
                <w:b/>
                <w:bCs/>
                <w:color w:val="000000"/>
              </w:rPr>
              <w:t>Beijing</w:t>
            </w:r>
            <w:bookmarkEnd w:id="2"/>
          </w:p>
          <w:p w14:paraId="6199424A" w14:textId="358B7F7A" w:rsidR="0049405C" w:rsidRPr="00C24D79" w:rsidRDefault="001A76D8" w:rsidP="001A76D8">
            <w:pPr>
              <w:spacing w:line="360" w:lineRule="auto"/>
              <w:rPr>
                <w:rFonts w:eastAsiaTheme="minorHAnsi"/>
                <w:color w:val="545551"/>
              </w:rPr>
            </w:pPr>
            <w:bookmarkStart w:id="3" w:name="dianhua"/>
            <w:r w:rsidRPr="001A76D8">
              <w:rPr>
                <w:rFonts w:ascii="等线" w:eastAsia="等线" w:hAnsi="Times New Roman"/>
                <w:color w:val="000000"/>
              </w:rPr>
              <w:t xml:space="preserve">+86 10 5769 5600 </w:t>
            </w:r>
            <w:bookmarkEnd w:id="3"/>
          </w:p>
          <w:p w14:paraId="4F910ACA" w14:textId="43A6302E" w:rsidR="0049405C" w:rsidRPr="00C24D79" w:rsidRDefault="001A76D8" w:rsidP="001A76D8">
            <w:pPr>
              <w:spacing w:line="360" w:lineRule="auto"/>
              <w:rPr>
                <w:rFonts w:eastAsiaTheme="minorHAnsi"/>
                <w:color w:val="000000"/>
              </w:rPr>
            </w:pPr>
            <w:bookmarkStart w:id="4" w:name="youxiang"/>
            <w:r w:rsidRPr="001A76D8">
              <w:rPr>
                <w:rFonts w:ascii="等线" w:eastAsia="等线" w:hAnsi="Times New Roman"/>
                <w:color w:val="000000"/>
              </w:rPr>
              <w:t>fang.qi@fangdalaw.com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FC7E4A0" w:rsidR="0049405C" w:rsidRPr="00C24D79" w:rsidRDefault="001A76D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29AB4DB" wp14:editId="6EAA39E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9932BC7" w:rsidR="009465FB" w:rsidRPr="00C24D79" w:rsidRDefault="001A76D8" w:rsidP="007177F3">
            <w:pPr>
              <w:rPr>
                <w:rFonts w:eastAsiaTheme="minorHAnsi"/>
                <w:color w:val="000000"/>
                <w:szCs w:val="21"/>
              </w:rPr>
            </w:pPr>
            <w:bookmarkStart w:id="6" w:name="zhiyelingyu"/>
            <w:r w:rsidRPr="001A76D8">
              <w:rPr>
                <w:rFonts w:ascii="等线" w:eastAsia="等线" w:hAnsi="Times New Roman"/>
                <w:color w:val="000000"/>
                <w:szCs w:val="21"/>
              </w:rPr>
              <w:t>DR.  QI</w:t>
            </w:r>
            <w:r w:rsidRPr="001A76D8">
              <w:rPr>
                <w:rFonts w:ascii="等线" w:eastAsia="等线" w:hAnsi="Times New Roman"/>
                <w:color w:val="000000"/>
                <w:szCs w:val="21"/>
              </w:rPr>
              <w:t>’</w:t>
            </w:r>
            <w:r w:rsidRPr="001A76D8">
              <w:rPr>
                <w:rFonts w:ascii="等线" w:eastAsia="等线" w:hAnsi="Times New Roman"/>
                <w:color w:val="000000"/>
                <w:szCs w:val="21"/>
              </w:rPr>
              <w:t>S  PRIMARY  PRACTICE  AREAS   COVER INTELLECTUAL PROPERTY-RELATED TRANSACTIONS AND LITIGATION AND ANTITRUST LITIGATION.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B5033FE" w14:textId="77777777" w:rsidR="001A76D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71C70A9" w14:textId="77777777" w:rsidR="001A76D8" w:rsidRDefault="001A76D8" w:rsidP="001A76D8">
      <w:pPr>
        <w:pStyle w:val="af5"/>
        <w:spacing w:before="120"/>
        <w:rPr>
          <w:rFonts w:ascii="等线" w:eastAsia="等线" w:hAnsi="Times New Roman"/>
          <w:color w:val="000000"/>
        </w:rPr>
      </w:pPr>
      <w:r w:rsidRPr="001A76D8">
        <w:rPr>
          <w:rFonts w:ascii="等线" w:eastAsia="等线" w:hAnsi="Times New Roman"/>
          <w:color w:val="000000"/>
        </w:rPr>
        <w:t>Dr. Fang Qi has represented clients in all stages of patent, trade secret, trademark, copyright and antitrust litigation. Fang has extensive experience working with electronics, telecommunication, new energy, pharmaceutical, petrochemical, consumer goods, and manufacturing companies. A number of Fang</w:t>
      </w:r>
      <w:r w:rsidRPr="001A76D8">
        <w:rPr>
          <w:rFonts w:ascii="等线" w:eastAsia="等线" w:hAnsi="Times New Roman"/>
          <w:color w:val="000000"/>
        </w:rPr>
        <w:t>’</w:t>
      </w:r>
      <w:r w:rsidRPr="001A76D8">
        <w:rPr>
          <w:rFonts w:ascii="等线" w:eastAsia="等线" w:hAnsi="Times New Roman"/>
          <w:color w:val="000000"/>
        </w:rPr>
        <w:t xml:space="preserve">s cases have been selected as annual leading or top ten cases by the Supreme Court, the regional high courts and the State Intellectual Property Office. Fang is a frequent speaker on various intellectual property and antitrust issues and co-author of the treatise </w:t>
      </w:r>
      <w:r w:rsidRPr="001A76D8">
        <w:rPr>
          <w:rFonts w:ascii="等线" w:eastAsia="等线" w:hAnsi="Times New Roman"/>
          <w:color w:val="000000"/>
        </w:rPr>
        <w:t>“</w:t>
      </w:r>
      <w:r w:rsidRPr="001A76D8">
        <w:rPr>
          <w:rFonts w:ascii="等线" w:eastAsia="等线" w:hAnsi="Times New Roman"/>
          <w:color w:val="000000"/>
        </w:rPr>
        <w:t>Intellectual Property Rights in China</w:t>
      </w:r>
      <w:r w:rsidRPr="001A76D8">
        <w:rPr>
          <w:rFonts w:ascii="等线" w:eastAsia="等线" w:hAnsi="Times New Roman"/>
          <w:color w:val="000000"/>
        </w:rPr>
        <w:t>”</w:t>
      </w:r>
      <w:r w:rsidRPr="001A76D8">
        <w:rPr>
          <w:rFonts w:ascii="等线" w:eastAsia="等线" w:hAnsi="Times New Roman"/>
          <w:color w:val="000000"/>
        </w:rPr>
        <w:t xml:space="preserve"> (Westlaw, Business Laws of China). Fang was named as one of the 100 top attorneys by China Business Law Journal and recommended by Chambers, China Law and Practice and Asialaw as a leading lawyer in the intellectual property litigation.</w:t>
      </w:r>
    </w:p>
    <w:p w14:paraId="5ED00F5A" w14:textId="77777777" w:rsidR="001A76D8" w:rsidRDefault="001A76D8" w:rsidP="001A76D8">
      <w:pPr>
        <w:pStyle w:val="af5"/>
        <w:spacing w:before="120"/>
        <w:rPr>
          <w:rFonts w:ascii="等线" w:eastAsia="等线" w:hAnsi="Times New Roman"/>
          <w:color w:val="000000"/>
        </w:rPr>
      </w:pPr>
      <w:r w:rsidRPr="001A76D8">
        <w:rPr>
          <w:rFonts w:ascii="等线" w:eastAsia="等线" w:hAnsi="Times New Roman"/>
          <w:color w:val="000000"/>
        </w:rPr>
        <w:t>Fang graduated from Columbia Law School, where he was a Harlan Fiske Stone Scholar and articles editor of the Columbia Science and Technology Law Review.</w:t>
      </w:r>
    </w:p>
    <w:p w14:paraId="0D5EED59" w14:textId="77777777" w:rsidR="001A76D8" w:rsidRDefault="001A76D8" w:rsidP="001A76D8">
      <w:pPr>
        <w:pStyle w:val="af5"/>
        <w:spacing w:after="0" w:line="480" w:lineRule="auto"/>
        <w:rPr>
          <w:rFonts w:ascii="等线" w:eastAsia="等线" w:hAnsi="等线"/>
          <w:b/>
          <w:sz w:val="24"/>
        </w:rPr>
      </w:pPr>
      <w:r w:rsidRPr="001A76D8">
        <w:rPr>
          <w:rFonts w:ascii="等线" w:eastAsia="等线" w:hAnsi="等线"/>
          <w:b/>
          <w:sz w:val="24"/>
        </w:rPr>
        <w:t>REPRESENTATIVE MATTERS AND CASES</w:t>
      </w:r>
    </w:p>
    <w:p w14:paraId="36CC0954" w14:textId="77777777" w:rsidR="001A76D8" w:rsidRDefault="001A76D8" w:rsidP="001A76D8">
      <w:pPr>
        <w:pStyle w:val="af5"/>
        <w:spacing w:before="120"/>
        <w:rPr>
          <w:rFonts w:ascii="等线" w:eastAsia="等线" w:hAnsi="Times New Roman"/>
          <w:color w:val="000000"/>
        </w:rPr>
      </w:pPr>
      <w:r w:rsidRPr="001A76D8">
        <w:rPr>
          <w:rFonts w:ascii="等线" w:eastAsia="等线" w:hAnsi="Times New Roman"/>
          <w:color w:val="000000"/>
        </w:rPr>
        <w:t>Litigation Matters</w:t>
      </w:r>
    </w:p>
    <w:p w14:paraId="72065A23" w14:textId="77777777" w:rsidR="001A76D8" w:rsidRDefault="001A76D8" w:rsidP="001A76D8">
      <w:pPr>
        <w:pStyle w:val="af5"/>
        <w:numPr>
          <w:ilvl w:val="0"/>
          <w:numId w:val="1"/>
        </w:numPr>
        <w:spacing w:before="120"/>
        <w:ind w:left="690" w:hanging="240"/>
        <w:rPr>
          <w:rFonts w:ascii="等线" w:eastAsia="等线" w:hAnsi="Times New Roman"/>
          <w:color w:val="000000"/>
        </w:rPr>
      </w:pPr>
      <w:r w:rsidRPr="001A76D8">
        <w:rPr>
          <w:rFonts w:ascii="等线" w:eastAsia="等线" w:hAnsi="Times New Roman"/>
          <w:color w:val="000000"/>
        </w:rPr>
        <w:t xml:space="preserve">Defended Watson Pharmaceuticals in a patent infringement case filed by Eli Lilly concerning the manufacturing process of Olanzapine in one of few pharmaceutical patent cases heard by the Supreme Court and obtained favorable judgment. This case was identified as a </w:t>
      </w:r>
      <w:r w:rsidRPr="001A76D8">
        <w:rPr>
          <w:rFonts w:ascii="等线" w:eastAsia="等线" w:hAnsi="Times New Roman"/>
          <w:color w:val="000000"/>
        </w:rPr>
        <w:t>‘</w:t>
      </w:r>
      <w:r w:rsidRPr="001A76D8">
        <w:rPr>
          <w:rFonts w:ascii="等线" w:eastAsia="等线" w:hAnsi="Times New Roman"/>
          <w:color w:val="000000"/>
        </w:rPr>
        <w:t>Guiding Case</w:t>
      </w:r>
      <w:r w:rsidRPr="001A76D8">
        <w:rPr>
          <w:rFonts w:ascii="等线" w:eastAsia="等线" w:hAnsi="Times New Roman"/>
          <w:color w:val="000000"/>
        </w:rPr>
        <w:t>”</w:t>
      </w:r>
      <w:r w:rsidRPr="001A76D8">
        <w:rPr>
          <w:rFonts w:ascii="等线" w:eastAsia="等线" w:hAnsi="Times New Roman"/>
          <w:color w:val="000000"/>
        </w:rPr>
        <w:t xml:space="preserve"> by the Supreme Court.</w:t>
      </w:r>
    </w:p>
    <w:p w14:paraId="1D95A3AF" w14:textId="77777777" w:rsidR="001A76D8" w:rsidRDefault="001A76D8" w:rsidP="001A76D8">
      <w:pPr>
        <w:pStyle w:val="af5"/>
        <w:numPr>
          <w:ilvl w:val="0"/>
          <w:numId w:val="2"/>
        </w:numPr>
        <w:spacing w:before="120"/>
        <w:ind w:left="690" w:hanging="240"/>
        <w:rPr>
          <w:rFonts w:ascii="等线" w:eastAsia="等线" w:hAnsi="Times New Roman"/>
          <w:color w:val="000000"/>
        </w:rPr>
      </w:pPr>
      <w:r w:rsidRPr="001A76D8">
        <w:rPr>
          <w:rFonts w:ascii="等线" w:eastAsia="等线" w:hAnsi="Times New Roman"/>
          <w:color w:val="000000"/>
        </w:rPr>
        <w:t>Defended Texas Instruments in a patent infringement case before the Shenzhen Intermediate Court and obtained favorable judgment</w:t>
      </w:r>
    </w:p>
    <w:p w14:paraId="66788B14" w14:textId="77777777" w:rsidR="001A76D8" w:rsidRDefault="001A76D8" w:rsidP="001A76D8">
      <w:pPr>
        <w:pStyle w:val="af5"/>
        <w:numPr>
          <w:ilvl w:val="0"/>
          <w:numId w:val="3"/>
        </w:numPr>
        <w:spacing w:before="120"/>
        <w:ind w:left="690" w:hanging="240"/>
        <w:rPr>
          <w:rFonts w:ascii="等线" w:eastAsia="等线" w:hAnsi="Times New Roman"/>
          <w:color w:val="000000"/>
        </w:rPr>
      </w:pPr>
      <w:r w:rsidRPr="001A76D8">
        <w:rPr>
          <w:rFonts w:ascii="等线" w:eastAsia="等线" w:hAnsi="Times New Roman"/>
          <w:color w:val="000000"/>
        </w:rPr>
        <w:t>Represented Power Integrations in multiple patent infringement cases against a leading semiconductor manufacturer concerning invention patents over power control devices before the Jiangsu High Court</w:t>
      </w:r>
    </w:p>
    <w:p w14:paraId="1502078A" w14:textId="77777777" w:rsidR="001A76D8" w:rsidRDefault="001A76D8" w:rsidP="001A76D8">
      <w:pPr>
        <w:pStyle w:val="af5"/>
        <w:numPr>
          <w:ilvl w:val="0"/>
          <w:numId w:val="4"/>
        </w:numPr>
        <w:spacing w:before="120"/>
        <w:ind w:left="690" w:hanging="240"/>
        <w:rPr>
          <w:rFonts w:ascii="等线" w:eastAsia="等线" w:hAnsi="Times New Roman"/>
          <w:color w:val="000000"/>
        </w:rPr>
      </w:pPr>
      <w:r w:rsidRPr="001A76D8">
        <w:rPr>
          <w:rFonts w:ascii="等线" w:eastAsia="等线" w:hAnsi="Times New Roman"/>
          <w:color w:val="000000"/>
        </w:rPr>
        <w:t>Represented Carl Zeiss SMT in a number of invalidation actions before the Patent Reexamination Board, the Beijing IP Court and the Beijing High Court concerning patents in the photolithography technology</w:t>
      </w:r>
    </w:p>
    <w:p w14:paraId="41F55AF0" w14:textId="77777777" w:rsidR="001A76D8" w:rsidRDefault="001A76D8" w:rsidP="001A76D8">
      <w:pPr>
        <w:pStyle w:val="af5"/>
        <w:numPr>
          <w:ilvl w:val="0"/>
          <w:numId w:val="5"/>
        </w:numPr>
        <w:spacing w:before="120"/>
        <w:ind w:left="690" w:hanging="240"/>
        <w:rPr>
          <w:rFonts w:ascii="等线" w:eastAsia="等线" w:hAnsi="Times New Roman"/>
          <w:color w:val="000000"/>
        </w:rPr>
      </w:pPr>
      <w:r w:rsidRPr="001A76D8">
        <w:rPr>
          <w:rFonts w:ascii="等线" w:eastAsia="等线" w:hAnsi="Times New Roman"/>
          <w:color w:val="000000"/>
        </w:rPr>
        <w:t>Defended InterDigital in antitrust and FRAND related lawsuits filed by several implementers of the relevant telecommunication standards before the Shenzhen Intermediate Court, the Guangdong High Court, the Jiangsu High Court and the Supreme Court</w:t>
      </w:r>
    </w:p>
    <w:p w14:paraId="7C3781CF" w14:textId="77777777" w:rsidR="001A76D8" w:rsidRDefault="001A76D8" w:rsidP="001A76D8">
      <w:pPr>
        <w:pStyle w:val="af5"/>
        <w:numPr>
          <w:ilvl w:val="0"/>
          <w:numId w:val="6"/>
        </w:numPr>
        <w:spacing w:before="120"/>
        <w:ind w:left="690" w:hanging="240"/>
        <w:rPr>
          <w:rFonts w:ascii="等线" w:eastAsia="等线" w:hAnsi="Times New Roman"/>
          <w:color w:val="000000"/>
        </w:rPr>
      </w:pPr>
      <w:r w:rsidRPr="001A76D8">
        <w:rPr>
          <w:rFonts w:ascii="等线" w:eastAsia="等线" w:hAnsi="Times New Roman"/>
          <w:color w:val="000000"/>
        </w:rPr>
        <w:t>Represented VMware in an antitrust case filed by its former reseller before the Beijing Intellectual Property Court for alleged abuse of market dominance</w:t>
      </w:r>
    </w:p>
    <w:p w14:paraId="435D7027" w14:textId="77777777" w:rsidR="001A76D8" w:rsidRDefault="001A76D8" w:rsidP="001A76D8">
      <w:pPr>
        <w:pStyle w:val="af5"/>
        <w:numPr>
          <w:ilvl w:val="0"/>
          <w:numId w:val="7"/>
        </w:numPr>
        <w:spacing w:before="120"/>
        <w:ind w:left="690" w:hanging="240"/>
        <w:rPr>
          <w:rFonts w:ascii="等线" w:eastAsia="等线" w:hAnsi="Times New Roman"/>
          <w:color w:val="000000"/>
        </w:rPr>
      </w:pPr>
      <w:r w:rsidRPr="001A76D8">
        <w:rPr>
          <w:rFonts w:ascii="等线" w:eastAsia="等线" w:hAnsi="Times New Roman"/>
          <w:color w:val="000000"/>
        </w:rPr>
        <w:t>Represented the General Electric Company in obtaining a preliminary injunction against one of its former employees for misappropriating trade secrets</w:t>
      </w:r>
    </w:p>
    <w:p w14:paraId="54C132C3" w14:textId="77777777" w:rsidR="001A76D8" w:rsidRDefault="001A76D8" w:rsidP="001A76D8">
      <w:pPr>
        <w:pStyle w:val="af5"/>
        <w:numPr>
          <w:ilvl w:val="0"/>
          <w:numId w:val="8"/>
        </w:numPr>
        <w:spacing w:before="120"/>
        <w:ind w:left="690" w:hanging="240"/>
        <w:rPr>
          <w:rFonts w:ascii="等线" w:eastAsia="等线" w:hAnsi="Times New Roman"/>
          <w:color w:val="000000"/>
        </w:rPr>
      </w:pPr>
      <w:r w:rsidRPr="001A76D8">
        <w:rPr>
          <w:rFonts w:ascii="等线" w:eastAsia="等线" w:hAnsi="Times New Roman"/>
          <w:color w:val="000000"/>
        </w:rPr>
        <w:t>Represented a leading global Petrochemical Company against its former collaborator in China for trade secret misappropriation that involves one of the largest damage claims in the intellectual property cases</w:t>
      </w:r>
    </w:p>
    <w:p w14:paraId="7B3D9D6A" w14:textId="77777777" w:rsidR="001A76D8" w:rsidRDefault="001A76D8" w:rsidP="001A76D8">
      <w:pPr>
        <w:pStyle w:val="af5"/>
        <w:numPr>
          <w:ilvl w:val="0"/>
          <w:numId w:val="9"/>
        </w:numPr>
        <w:spacing w:before="120"/>
        <w:ind w:left="690" w:hanging="240"/>
        <w:rPr>
          <w:rFonts w:ascii="等线" w:eastAsia="等线" w:hAnsi="Times New Roman"/>
          <w:color w:val="000000"/>
        </w:rPr>
      </w:pPr>
      <w:r w:rsidRPr="001A76D8">
        <w:rPr>
          <w:rFonts w:ascii="等线" w:eastAsia="等线" w:hAnsi="Times New Roman"/>
          <w:color w:val="000000"/>
        </w:rPr>
        <w:t>Represented Dow Chemical and JM Davy to obtain a favorable decision from the Liaocheng Intermediate Court that recognizes the arbitral award in the amount of nearly RMB 800 million against Luxi Chemical issued by the Arbitration Institute of the Stockholm Chamber of Commerce</w:t>
      </w:r>
    </w:p>
    <w:p w14:paraId="6C2B8DAE" w14:textId="77777777" w:rsidR="001A76D8" w:rsidRDefault="001A76D8" w:rsidP="001A76D8">
      <w:pPr>
        <w:pStyle w:val="af5"/>
        <w:numPr>
          <w:ilvl w:val="0"/>
          <w:numId w:val="10"/>
        </w:numPr>
        <w:spacing w:before="120"/>
        <w:ind w:left="690" w:hanging="240"/>
        <w:rPr>
          <w:rFonts w:ascii="等线" w:eastAsia="等线" w:hAnsi="Times New Roman"/>
          <w:color w:val="000000"/>
        </w:rPr>
      </w:pPr>
      <w:r w:rsidRPr="001A76D8">
        <w:rPr>
          <w:rFonts w:ascii="等线" w:eastAsia="等线" w:hAnsi="Times New Roman"/>
          <w:color w:val="000000"/>
        </w:rPr>
        <w:t>Represented ByteDance in a copyright case before the Beijing High Court concerning alleged infringement of the source codes for a hugely popular video-sharing application</w:t>
      </w:r>
    </w:p>
    <w:p w14:paraId="683C511A" w14:textId="77777777" w:rsidR="001A76D8" w:rsidRDefault="001A76D8" w:rsidP="001A76D8">
      <w:pPr>
        <w:pStyle w:val="af5"/>
        <w:numPr>
          <w:ilvl w:val="0"/>
          <w:numId w:val="11"/>
        </w:numPr>
        <w:spacing w:before="120"/>
        <w:ind w:left="690" w:hanging="240"/>
        <w:rPr>
          <w:rFonts w:ascii="等线" w:eastAsia="等线" w:hAnsi="Times New Roman"/>
          <w:color w:val="000000"/>
        </w:rPr>
      </w:pPr>
      <w:r w:rsidRPr="001A76D8">
        <w:rPr>
          <w:rFonts w:ascii="等线" w:eastAsia="等线" w:hAnsi="Times New Roman"/>
          <w:color w:val="000000"/>
        </w:rPr>
        <w:t>Represented a leading global Internet Service Provider in multiple copyright and trademark civil and administrative disputes</w:t>
      </w:r>
    </w:p>
    <w:p w14:paraId="5E8745A1" w14:textId="77777777" w:rsidR="001A76D8" w:rsidRDefault="001A76D8" w:rsidP="001A76D8">
      <w:pPr>
        <w:pStyle w:val="af5"/>
        <w:numPr>
          <w:ilvl w:val="0"/>
          <w:numId w:val="12"/>
        </w:numPr>
        <w:spacing w:before="120"/>
        <w:ind w:left="690" w:hanging="240"/>
        <w:rPr>
          <w:rFonts w:ascii="等线" w:eastAsia="等线" w:hAnsi="Times New Roman"/>
          <w:color w:val="000000"/>
        </w:rPr>
      </w:pPr>
      <w:r w:rsidRPr="001A76D8">
        <w:rPr>
          <w:rFonts w:ascii="等线" w:eastAsia="等线" w:hAnsi="Times New Roman"/>
          <w:color w:val="000000"/>
        </w:rPr>
        <w:t>Represented Mindray Medical International in pursuing a claim of frivolous litigation against Edan Precision Instruments before the Shenzhen Intermediate Court</w:t>
      </w:r>
    </w:p>
    <w:p w14:paraId="60A87576" w14:textId="77777777" w:rsidR="001A76D8" w:rsidRDefault="001A76D8" w:rsidP="001A76D8">
      <w:pPr>
        <w:pStyle w:val="af5"/>
        <w:numPr>
          <w:ilvl w:val="0"/>
          <w:numId w:val="13"/>
        </w:numPr>
        <w:spacing w:before="120"/>
        <w:ind w:left="690" w:hanging="240"/>
        <w:rPr>
          <w:rFonts w:ascii="等线" w:eastAsia="等线" w:hAnsi="Times New Roman"/>
          <w:color w:val="000000"/>
        </w:rPr>
      </w:pPr>
      <w:r w:rsidRPr="001A76D8">
        <w:rPr>
          <w:rFonts w:ascii="等线" w:eastAsia="等线" w:hAnsi="Times New Roman"/>
          <w:color w:val="000000"/>
        </w:rPr>
        <w:t>Obtained favorable decisions from the Supreme Court for basketball legend Mr. Michael Jordan in litigation against Qiaodan Sports Company for its registration and use of Mr. Jordan</w:t>
      </w:r>
      <w:r w:rsidRPr="001A76D8">
        <w:rPr>
          <w:rFonts w:ascii="等线" w:eastAsia="等线" w:hAnsi="Times New Roman"/>
          <w:color w:val="000000"/>
        </w:rPr>
        <w:t>’</w:t>
      </w:r>
      <w:r w:rsidRPr="001A76D8">
        <w:rPr>
          <w:rFonts w:ascii="等线" w:eastAsia="等线" w:hAnsi="Times New Roman"/>
          <w:color w:val="000000"/>
        </w:rPr>
        <w:t>s name and image.</w:t>
      </w:r>
      <w:r w:rsidRPr="001A76D8">
        <w:rPr>
          <w:rFonts w:ascii="等线" w:eastAsia="等线" w:hAnsi="Times New Roman"/>
          <w:color w:val="000000"/>
        </w:rPr>
        <w:t> </w:t>
      </w:r>
      <w:r w:rsidRPr="001A76D8">
        <w:rPr>
          <w:rFonts w:ascii="等线" w:eastAsia="等线" w:hAnsi="Times New Roman"/>
          <w:color w:val="000000"/>
        </w:rPr>
        <w:t xml:space="preserve"> This case was identified as a </w:t>
      </w:r>
      <w:r w:rsidRPr="001A76D8">
        <w:rPr>
          <w:rFonts w:ascii="等线" w:eastAsia="等线" w:hAnsi="Times New Roman"/>
          <w:color w:val="000000"/>
        </w:rPr>
        <w:t>‘</w:t>
      </w:r>
      <w:r w:rsidRPr="001A76D8">
        <w:rPr>
          <w:rFonts w:ascii="等线" w:eastAsia="等线" w:hAnsi="Times New Roman"/>
          <w:color w:val="000000"/>
        </w:rPr>
        <w:t>Guiding Case</w:t>
      </w:r>
      <w:r w:rsidRPr="001A76D8">
        <w:rPr>
          <w:rFonts w:ascii="等线" w:eastAsia="等线" w:hAnsi="Times New Roman"/>
          <w:color w:val="000000"/>
        </w:rPr>
        <w:t>”</w:t>
      </w:r>
      <w:r w:rsidRPr="001A76D8">
        <w:rPr>
          <w:rFonts w:ascii="等线" w:eastAsia="等线" w:hAnsi="Times New Roman"/>
          <w:color w:val="000000"/>
        </w:rPr>
        <w:t xml:space="preserve"> by the Supreme Court</w:t>
      </w:r>
    </w:p>
    <w:p w14:paraId="349157BE" w14:textId="77777777" w:rsidR="001A76D8" w:rsidRDefault="001A76D8" w:rsidP="001A76D8">
      <w:pPr>
        <w:pStyle w:val="af5"/>
        <w:numPr>
          <w:ilvl w:val="0"/>
          <w:numId w:val="14"/>
        </w:numPr>
        <w:spacing w:before="120"/>
        <w:ind w:left="690" w:hanging="240"/>
        <w:rPr>
          <w:rFonts w:ascii="等线" w:eastAsia="等线" w:hAnsi="Times New Roman"/>
          <w:color w:val="000000"/>
        </w:rPr>
      </w:pPr>
      <w:r w:rsidRPr="001A76D8">
        <w:rPr>
          <w:rFonts w:ascii="等线" w:eastAsia="等线" w:hAnsi="Times New Roman"/>
          <w:color w:val="000000"/>
        </w:rPr>
        <w:t xml:space="preserve">Represented Tesla against the squatter who registered the </w:t>
      </w:r>
      <w:r w:rsidRPr="001A76D8">
        <w:rPr>
          <w:rFonts w:ascii="等线" w:eastAsia="等线" w:hAnsi="Times New Roman"/>
          <w:color w:val="000000"/>
        </w:rPr>
        <w:t>“</w:t>
      </w:r>
      <w:r w:rsidRPr="001A76D8">
        <w:rPr>
          <w:rFonts w:ascii="等线" w:eastAsia="等线" w:hAnsi="Times New Roman"/>
          <w:color w:val="000000"/>
        </w:rPr>
        <w:t>Tesla</w:t>
      </w:r>
      <w:r w:rsidRPr="001A76D8">
        <w:rPr>
          <w:rFonts w:ascii="等线" w:eastAsia="等线" w:hAnsi="Times New Roman"/>
          <w:color w:val="000000"/>
        </w:rPr>
        <w:t>”</w:t>
      </w:r>
      <w:r w:rsidRPr="001A76D8">
        <w:rPr>
          <w:rFonts w:ascii="等线" w:eastAsia="等线" w:hAnsi="Times New Roman"/>
          <w:color w:val="000000"/>
        </w:rPr>
        <w:t xml:space="preserve"> trademark, domain name and trade name. Through a series of administrative and civil proceedings, the parties reached a settlement by which the squatter assigned all the rights back to Tesla</w:t>
      </w:r>
    </w:p>
    <w:p w14:paraId="6623D583" w14:textId="77777777" w:rsidR="001A76D8" w:rsidRDefault="001A76D8" w:rsidP="001A76D8">
      <w:pPr>
        <w:pStyle w:val="af5"/>
        <w:spacing w:before="120"/>
        <w:rPr>
          <w:rFonts w:ascii="等线" w:eastAsia="等线" w:hAnsi="Times New Roman"/>
          <w:color w:val="000000"/>
        </w:rPr>
      </w:pPr>
      <w:r w:rsidRPr="001A76D8">
        <w:rPr>
          <w:rFonts w:ascii="等线" w:eastAsia="等线" w:hAnsi="Times New Roman"/>
          <w:color w:val="000000"/>
        </w:rPr>
        <w:t>Non-Litigation Matters</w:t>
      </w:r>
    </w:p>
    <w:p w14:paraId="42E7D889" w14:textId="77777777" w:rsidR="001A76D8" w:rsidRDefault="001A76D8" w:rsidP="001A76D8">
      <w:pPr>
        <w:pStyle w:val="af5"/>
        <w:numPr>
          <w:ilvl w:val="0"/>
          <w:numId w:val="15"/>
        </w:numPr>
        <w:spacing w:before="120"/>
        <w:ind w:left="690" w:hanging="240"/>
        <w:rPr>
          <w:rFonts w:ascii="等线" w:eastAsia="等线" w:hAnsi="Times New Roman"/>
          <w:color w:val="000000"/>
        </w:rPr>
      </w:pPr>
      <w:r w:rsidRPr="001A76D8">
        <w:rPr>
          <w:rFonts w:ascii="等线" w:eastAsia="等线" w:hAnsi="Times New Roman"/>
          <w:color w:val="000000"/>
        </w:rPr>
        <w:t>Represented a Swiss company in an investigation by the State General Administration of Sports after an accident caused by potential safety issues in certain sport air guns</w:t>
      </w:r>
    </w:p>
    <w:p w14:paraId="14A627FE" w14:textId="77777777" w:rsidR="001A76D8" w:rsidRDefault="001A76D8" w:rsidP="001A76D8">
      <w:pPr>
        <w:pStyle w:val="af5"/>
        <w:numPr>
          <w:ilvl w:val="0"/>
          <w:numId w:val="16"/>
        </w:numPr>
        <w:spacing w:before="120"/>
        <w:ind w:left="690" w:hanging="240"/>
        <w:rPr>
          <w:rFonts w:ascii="等线" w:eastAsia="等线" w:hAnsi="Times New Roman"/>
          <w:color w:val="000000"/>
        </w:rPr>
      </w:pPr>
      <w:r w:rsidRPr="001A76D8">
        <w:rPr>
          <w:rFonts w:ascii="等线" w:eastAsia="等线" w:hAnsi="Times New Roman"/>
          <w:color w:val="000000"/>
        </w:rPr>
        <w:t>Advised a European Pharmaceutical Company during its registration of pharmaceutical products with the National Medical Products Administration</w:t>
      </w:r>
    </w:p>
    <w:p w14:paraId="65D25435" w14:textId="77777777" w:rsidR="001A76D8" w:rsidRDefault="001A76D8" w:rsidP="001A76D8">
      <w:pPr>
        <w:pStyle w:val="af5"/>
        <w:numPr>
          <w:ilvl w:val="0"/>
          <w:numId w:val="17"/>
        </w:numPr>
        <w:spacing w:before="120"/>
        <w:ind w:left="690" w:hanging="240"/>
        <w:rPr>
          <w:rFonts w:ascii="等线" w:eastAsia="等线" w:hAnsi="Times New Roman"/>
          <w:color w:val="000000"/>
        </w:rPr>
      </w:pPr>
      <w:r w:rsidRPr="001A76D8">
        <w:rPr>
          <w:rFonts w:ascii="等线" w:eastAsia="等线" w:hAnsi="Times New Roman"/>
          <w:color w:val="000000"/>
        </w:rPr>
        <w:t>Advised a European healthcare technology company in its investment in a local company, including due diligence and deal negotiations</w:t>
      </w:r>
    </w:p>
    <w:p w14:paraId="3D81BD0A" w14:textId="77777777" w:rsidR="001A76D8" w:rsidRDefault="001A76D8" w:rsidP="001A76D8">
      <w:pPr>
        <w:pStyle w:val="af5"/>
        <w:numPr>
          <w:ilvl w:val="0"/>
          <w:numId w:val="18"/>
        </w:numPr>
        <w:spacing w:before="120"/>
        <w:ind w:left="690" w:hanging="240"/>
        <w:rPr>
          <w:rFonts w:ascii="等线" w:eastAsia="等线" w:hAnsi="Times New Roman"/>
          <w:color w:val="000000"/>
        </w:rPr>
      </w:pPr>
      <w:r w:rsidRPr="001A76D8">
        <w:rPr>
          <w:rFonts w:ascii="等线" w:eastAsia="等线" w:hAnsi="Times New Roman"/>
          <w:color w:val="000000"/>
        </w:rPr>
        <w:t>Represented NTT DoCoMo in negotiation with a local smartphone company for licensing cellular standard essential patents</w:t>
      </w:r>
    </w:p>
    <w:p w14:paraId="6C73AA73" w14:textId="77777777" w:rsidR="001A76D8" w:rsidRDefault="001A76D8" w:rsidP="001A76D8">
      <w:pPr>
        <w:pStyle w:val="af5"/>
        <w:numPr>
          <w:ilvl w:val="0"/>
          <w:numId w:val="19"/>
        </w:numPr>
        <w:spacing w:before="120"/>
        <w:ind w:left="690" w:hanging="240"/>
        <w:rPr>
          <w:rFonts w:ascii="等线" w:eastAsia="等线" w:hAnsi="Times New Roman"/>
          <w:color w:val="000000"/>
        </w:rPr>
      </w:pPr>
      <w:r w:rsidRPr="001A76D8">
        <w:rPr>
          <w:rFonts w:ascii="等线" w:eastAsia="等线" w:hAnsi="Times New Roman"/>
          <w:color w:val="000000"/>
        </w:rPr>
        <w:t>Designed and drafted the documents for trade secret protection for a leading insurance company and provided the relevant trainings</w:t>
      </w:r>
    </w:p>
    <w:p w14:paraId="0B454F85" w14:textId="77777777" w:rsidR="001A76D8" w:rsidRDefault="001A76D8" w:rsidP="001A76D8">
      <w:pPr>
        <w:pStyle w:val="af5"/>
        <w:numPr>
          <w:ilvl w:val="0"/>
          <w:numId w:val="20"/>
        </w:numPr>
        <w:spacing w:before="120"/>
        <w:ind w:left="690" w:hanging="240"/>
        <w:rPr>
          <w:rFonts w:ascii="等线" w:eastAsia="等线" w:hAnsi="Times New Roman"/>
          <w:color w:val="000000"/>
        </w:rPr>
      </w:pPr>
      <w:r w:rsidRPr="001A76D8">
        <w:rPr>
          <w:rFonts w:ascii="等线" w:eastAsia="等线" w:hAnsi="Times New Roman"/>
          <w:color w:val="000000"/>
        </w:rPr>
        <w:t>Advised Blizzard Entertainment on Chinese law issues relating to infringement claims raised by a non-practicing patent holder concerning patents over gaming technologies</w:t>
      </w:r>
    </w:p>
    <w:p w14:paraId="223DB9C0" w14:textId="77777777" w:rsidR="001A76D8" w:rsidRDefault="001A76D8" w:rsidP="001A76D8">
      <w:pPr>
        <w:pStyle w:val="af5"/>
        <w:numPr>
          <w:ilvl w:val="0"/>
          <w:numId w:val="21"/>
        </w:numPr>
        <w:spacing w:before="120"/>
        <w:ind w:left="690" w:hanging="240"/>
        <w:rPr>
          <w:rFonts w:ascii="等线" w:eastAsia="等线" w:hAnsi="Times New Roman"/>
          <w:color w:val="000000"/>
        </w:rPr>
      </w:pPr>
      <w:r w:rsidRPr="001A76D8">
        <w:rPr>
          <w:rFonts w:ascii="等线" w:eastAsia="等线" w:hAnsi="Times New Roman"/>
          <w:color w:val="000000"/>
        </w:rPr>
        <w:t>Advised a leading US consumer electronic company on various IP protection issues relating to its marketing and sales activities in China</w:t>
      </w:r>
    </w:p>
    <w:p w14:paraId="457DC276" w14:textId="77777777" w:rsidR="001A76D8" w:rsidRDefault="001A76D8" w:rsidP="001A76D8">
      <w:pPr>
        <w:pStyle w:val="af5"/>
        <w:numPr>
          <w:ilvl w:val="0"/>
          <w:numId w:val="22"/>
        </w:numPr>
        <w:spacing w:before="120"/>
        <w:ind w:left="690" w:hanging="240"/>
        <w:rPr>
          <w:rFonts w:ascii="等线" w:eastAsia="等线" w:hAnsi="Times New Roman"/>
          <w:color w:val="000000"/>
        </w:rPr>
      </w:pPr>
      <w:r w:rsidRPr="001A76D8">
        <w:rPr>
          <w:rFonts w:ascii="等线" w:eastAsia="等线" w:hAnsi="Times New Roman"/>
          <w:color w:val="000000"/>
        </w:rPr>
        <w:t>Advised Air Products on IP issues relating to cross-border transactions and business collaboration with local partners</w:t>
      </w:r>
    </w:p>
    <w:p w14:paraId="5AF3300D" w14:textId="77777777" w:rsidR="001A76D8" w:rsidRDefault="001A76D8" w:rsidP="001A76D8">
      <w:pPr>
        <w:pStyle w:val="af5"/>
        <w:numPr>
          <w:ilvl w:val="0"/>
          <w:numId w:val="23"/>
        </w:numPr>
        <w:spacing w:before="120"/>
        <w:ind w:left="690" w:hanging="240"/>
        <w:rPr>
          <w:rFonts w:ascii="等线" w:eastAsia="等线" w:hAnsi="Times New Roman"/>
          <w:color w:val="000000"/>
        </w:rPr>
      </w:pPr>
      <w:r w:rsidRPr="001A76D8">
        <w:rPr>
          <w:rFonts w:ascii="等线" w:eastAsia="等线" w:hAnsi="Times New Roman"/>
          <w:color w:val="000000"/>
        </w:rPr>
        <w:t>Advised various investors in IP due diligence work for target companies in the healthcare, biotechnology, electronics and manufacturing industries</w:t>
      </w:r>
    </w:p>
    <w:p w14:paraId="1B79A4AA" w14:textId="77777777" w:rsidR="001A76D8" w:rsidRDefault="001A76D8" w:rsidP="001A76D8">
      <w:pPr>
        <w:pStyle w:val="af5"/>
        <w:numPr>
          <w:ilvl w:val="0"/>
          <w:numId w:val="24"/>
        </w:numPr>
        <w:spacing w:before="120"/>
        <w:ind w:left="690" w:hanging="240"/>
        <w:rPr>
          <w:rFonts w:ascii="等线" w:eastAsia="等线" w:hAnsi="Times New Roman"/>
          <w:color w:val="000000"/>
        </w:rPr>
      </w:pPr>
      <w:r w:rsidRPr="001A76D8">
        <w:rPr>
          <w:rFonts w:ascii="等线" w:eastAsia="等线" w:hAnsi="Times New Roman"/>
          <w:color w:val="000000"/>
        </w:rPr>
        <w:t>Advised Infineon Technologies on the Anti-Monopoly Law compliance issues concerning its working with local partners about technology sales and development</w:t>
      </w:r>
    </w:p>
    <w:p w14:paraId="23CAB9A4" w14:textId="77777777" w:rsidR="001A76D8" w:rsidRDefault="001A76D8" w:rsidP="001A76D8">
      <w:pPr>
        <w:pStyle w:val="af5"/>
        <w:numPr>
          <w:ilvl w:val="0"/>
          <w:numId w:val="25"/>
        </w:numPr>
        <w:spacing w:before="120"/>
        <w:ind w:left="690" w:hanging="240"/>
        <w:rPr>
          <w:rFonts w:ascii="等线" w:eastAsia="等线" w:hAnsi="Times New Roman"/>
          <w:color w:val="000000"/>
        </w:rPr>
      </w:pPr>
      <w:r w:rsidRPr="001A76D8">
        <w:rPr>
          <w:rFonts w:ascii="等线" w:eastAsia="等线" w:hAnsi="Times New Roman"/>
          <w:color w:val="000000"/>
        </w:rPr>
        <w:t>Advised Shanghai Shilu Equipment Company in its IP purchase and technology cooperation negotiation with a research institution</w:t>
      </w:r>
    </w:p>
    <w:p w14:paraId="3FCA2806" w14:textId="77777777" w:rsidR="001A76D8" w:rsidRDefault="001A76D8" w:rsidP="001A76D8">
      <w:pPr>
        <w:pStyle w:val="af5"/>
        <w:spacing w:after="0" w:line="480" w:lineRule="auto"/>
        <w:rPr>
          <w:rFonts w:ascii="等线" w:eastAsia="等线" w:hAnsi="等线"/>
          <w:b/>
          <w:sz w:val="24"/>
        </w:rPr>
      </w:pPr>
      <w:r w:rsidRPr="001A76D8">
        <w:rPr>
          <w:rFonts w:ascii="等线" w:eastAsia="等线" w:hAnsi="等线"/>
          <w:b/>
          <w:sz w:val="24"/>
        </w:rPr>
        <w:t>Education</w:t>
      </w:r>
    </w:p>
    <w:p w14:paraId="033835CF" w14:textId="77777777" w:rsidR="001A76D8" w:rsidRDefault="001A76D8" w:rsidP="001A76D8">
      <w:pPr>
        <w:pStyle w:val="af5"/>
        <w:numPr>
          <w:ilvl w:val="0"/>
          <w:numId w:val="26"/>
        </w:numPr>
        <w:spacing w:before="120"/>
        <w:ind w:left="690" w:hanging="240"/>
        <w:rPr>
          <w:rFonts w:ascii="等线" w:eastAsia="等线" w:hAnsi="Times New Roman"/>
          <w:color w:val="000000"/>
        </w:rPr>
      </w:pPr>
      <w:r w:rsidRPr="001A76D8">
        <w:rPr>
          <w:rFonts w:ascii="等线" w:eastAsia="等线" w:hAnsi="Times New Roman"/>
          <w:color w:val="000000"/>
        </w:rPr>
        <w:t>Columbia University School of Law, J.D.</w:t>
      </w:r>
    </w:p>
    <w:p w14:paraId="2171A501" w14:textId="77777777" w:rsidR="001A76D8" w:rsidRDefault="001A76D8" w:rsidP="001A76D8">
      <w:pPr>
        <w:pStyle w:val="af5"/>
        <w:numPr>
          <w:ilvl w:val="0"/>
          <w:numId w:val="27"/>
        </w:numPr>
        <w:spacing w:before="120"/>
        <w:ind w:left="690" w:hanging="240"/>
        <w:rPr>
          <w:rFonts w:ascii="等线" w:eastAsia="等线" w:hAnsi="Times New Roman"/>
          <w:color w:val="000000"/>
        </w:rPr>
      </w:pPr>
      <w:r w:rsidRPr="001A76D8">
        <w:rPr>
          <w:rFonts w:ascii="等线" w:eastAsia="等线" w:hAnsi="Times New Roman"/>
          <w:color w:val="000000"/>
        </w:rPr>
        <w:t>City University of New York, Ph.D., Biochemistry</w:t>
      </w:r>
    </w:p>
    <w:p w14:paraId="36460A6E" w14:textId="77777777" w:rsidR="001A76D8" w:rsidRDefault="001A76D8" w:rsidP="001A76D8">
      <w:pPr>
        <w:pStyle w:val="af5"/>
        <w:numPr>
          <w:ilvl w:val="0"/>
          <w:numId w:val="28"/>
        </w:numPr>
        <w:spacing w:before="120"/>
        <w:ind w:left="690" w:hanging="240"/>
        <w:rPr>
          <w:rFonts w:ascii="等线" w:eastAsia="等线" w:hAnsi="Times New Roman"/>
          <w:color w:val="000000"/>
        </w:rPr>
      </w:pPr>
      <w:r w:rsidRPr="001A76D8">
        <w:rPr>
          <w:rFonts w:ascii="等线" w:eastAsia="等线" w:hAnsi="Times New Roman"/>
          <w:color w:val="000000"/>
        </w:rPr>
        <w:t>Peking University, B.S., Biochemistry</w:t>
      </w:r>
    </w:p>
    <w:p w14:paraId="1EF17A76" w14:textId="77777777" w:rsidR="001A76D8" w:rsidRDefault="001A76D8" w:rsidP="001A76D8">
      <w:pPr>
        <w:pStyle w:val="af5"/>
        <w:spacing w:after="0" w:line="480" w:lineRule="auto"/>
        <w:rPr>
          <w:rFonts w:ascii="等线" w:eastAsia="等线" w:hAnsi="等线"/>
          <w:b/>
          <w:sz w:val="24"/>
        </w:rPr>
      </w:pPr>
      <w:r w:rsidRPr="001A76D8">
        <w:rPr>
          <w:rFonts w:ascii="等线" w:eastAsia="等线" w:hAnsi="等线"/>
          <w:b/>
          <w:sz w:val="24"/>
        </w:rPr>
        <w:t>Professional Qualification</w:t>
      </w:r>
    </w:p>
    <w:p w14:paraId="44751D37" w14:textId="77777777" w:rsidR="001A76D8" w:rsidRDefault="001A76D8" w:rsidP="001A76D8">
      <w:pPr>
        <w:pStyle w:val="af5"/>
        <w:numPr>
          <w:ilvl w:val="0"/>
          <w:numId w:val="29"/>
        </w:numPr>
        <w:spacing w:before="120"/>
        <w:ind w:left="690" w:hanging="240"/>
        <w:rPr>
          <w:rFonts w:ascii="等线" w:eastAsia="等线" w:hAnsi="Times New Roman"/>
          <w:color w:val="000000"/>
        </w:rPr>
      </w:pPr>
      <w:r w:rsidRPr="001A76D8">
        <w:rPr>
          <w:rFonts w:ascii="等线" w:eastAsia="等线" w:hAnsi="Times New Roman"/>
          <w:color w:val="000000"/>
        </w:rPr>
        <w:t>Admitted to practice before the SIPO</w:t>
      </w:r>
    </w:p>
    <w:p w14:paraId="306BBF83" w14:textId="77777777" w:rsidR="001A76D8" w:rsidRDefault="001A76D8" w:rsidP="001A76D8">
      <w:pPr>
        <w:pStyle w:val="af5"/>
        <w:numPr>
          <w:ilvl w:val="0"/>
          <w:numId w:val="30"/>
        </w:numPr>
        <w:spacing w:before="120"/>
        <w:ind w:left="690" w:hanging="240"/>
        <w:rPr>
          <w:rFonts w:ascii="等线" w:eastAsia="等线" w:hAnsi="Times New Roman"/>
          <w:color w:val="000000"/>
        </w:rPr>
      </w:pPr>
      <w:r w:rsidRPr="001A76D8">
        <w:rPr>
          <w:rFonts w:ascii="等线" w:eastAsia="等线" w:hAnsi="Times New Roman"/>
          <w:color w:val="000000"/>
        </w:rPr>
        <w:t>Admitted to practice before the USPTO</w:t>
      </w:r>
    </w:p>
    <w:p w14:paraId="0A674E61" w14:textId="77777777" w:rsidR="001A76D8" w:rsidRDefault="001A76D8" w:rsidP="001A76D8">
      <w:pPr>
        <w:pStyle w:val="af5"/>
        <w:numPr>
          <w:ilvl w:val="0"/>
          <w:numId w:val="31"/>
        </w:numPr>
        <w:spacing w:before="120"/>
        <w:ind w:left="690" w:hanging="240"/>
        <w:rPr>
          <w:rFonts w:ascii="等线" w:eastAsia="等线" w:hAnsi="Times New Roman"/>
          <w:color w:val="000000"/>
        </w:rPr>
      </w:pPr>
      <w:r w:rsidRPr="001A76D8">
        <w:rPr>
          <w:rFonts w:ascii="等线" w:eastAsia="等线" w:hAnsi="Times New Roman"/>
          <w:color w:val="000000"/>
        </w:rPr>
        <w:t>Admitted to practice in the PRC</w:t>
      </w:r>
    </w:p>
    <w:p w14:paraId="2A166B11" w14:textId="77777777" w:rsidR="001A76D8" w:rsidRDefault="001A76D8" w:rsidP="001A76D8">
      <w:pPr>
        <w:pStyle w:val="af5"/>
        <w:numPr>
          <w:ilvl w:val="0"/>
          <w:numId w:val="32"/>
        </w:numPr>
        <w:spacing w:before="120"/>
        <w:ind w:left="690" w:hanging="240"/>
        <w:rPr>
          <w:rFonts w:ascii="等线" w:eastAsia="等线" w:hAnsi="Times New Roman"/>
          <w:color w:val="000000"/>
        </w:rPr>
      </w:pPr>
      <w:r w:rsidRPr="001A76D8">
        <w:rPr>
          <w:rFonts w:ascii="等线" w:eastAsia="等线" w:hAnsi="Times New Roman"/>
          <w:color w:val="000000"/>
        </w:rPr>
        <w:t>Admitted to practice in New York</w:t>
      </w:r>
    </w:p>
    <w:p w14:paraId="2440B24C" w14:textId="77777777" w:rsidR="001A76D8" w:rsidRDefault="001A76D8" w:rsidP="001A76D8">
      <w:pPr>
        <w:pStyle w:val="af5"/>
        <w:spacing w:after="0" w:line="480" w:lineRule="auto"/>
        <w:rPr>
          <w:rFonts w:ascii="等线" w:eastAsia="等线" w:hAnsi="等线"/>
          <w:b/>
          <w:sz w:val="24"/>
        </w:rPr>
      </w:pPr>
      <w:r w:rsidRPr="001A76D8">
        <w:rPr>
          <w:rFonts w:ascii="等线" w:eastAsia="等线" w:hAnsi="等线"/>
          <w:b/>
          <w:sz w:val="24"/>
        </w:rPr>
        <w:t>OTHER INFORMATION</w:t>
      </w:r>
    </w:p>
    <w:p w14:paraId="5B083696" w14:textId="77777777" w:rsidR="001A76D8" w:rsidRDefault="001A76D8" w:rsidP="001A76D8">
      <w:pPr>
        <w:pStyle w:val="af5"/>
        <w:spacing w:after="0" w:line="480" w:lineRule="auto"/>
        <w:rPr>
          <w:rFonts w:ascii="等线" w:eastAsia="等线" w:hAnsi="等线"/>
          <w:b/>
          <w:sz w:val="24"/>
        </w:rPr>
      </w:pPr>
      <w:r w:rsidRPr="001A76D8">
        <w:rPr>
          <w:rFonts w:ascii="等线" w:eastAsia="等线" w:hAnsi="等线"/>
          <w:b/>
          <w:sz w:val="24"/>
        </w:rPr>
        <w:t>Publications</w:t>
      </w:r>
    </w:p>
    <w:p w14:paraId="3D438B82" w14:textId="77777777" w:rsidR="001A76D8" w:rsidRDefault="001A76D8" w:rsidP="001A76D8">
      <w:pPr>
        <w:pStyle w:val="af5"/>
        <w:numPr>
          <w:ilvl w:val="0"/>
          <w:numId w:val="33"/>
        </w:numPr>
        <w:spacing w:before="120"/>
        <w:ind w:left="690" w:hanging="240"/>
        <w:rPr>
          <w:rFonts w:ascii="等线" w:eastAsia="等线" w:hAnsi="Times New Roman"/>
          <w:color w:val="000000"/>
        </w:rPr>
      </w:pPr>
      <w:r w:rsidRPr="001A76D8">
        <w:rPr>
          <w:rFonts w:ascii="等线" w:eastAsia="等线" w:hAnsi="Times New Roman"/>
          <w:color w:val="000000"/>
        </w:rPr>
        <w:t xml:space="preserve">Protection of Information as Trade Secrets in China，Fang Qi and Danae Wu, China Law &amp; Practice, September 2021. </w:t>
      </w:r>
    </w:p>
    <w:p w14:paraId="06D03D7E" w14:textId="77777777" w:rsidR="001A76D8" w:rsidRDefault="001A76D8" w:rsidP="001A76D8">
      <w:pPr>
        <w:pStyle w:val="af5"/>
        <w:numPr>
          <w:ilvl w:val="0"/>
          <w:numId w:val="34"/>
        </w:numPr>
        <w:spacing w:before="120"/>
        <w:ind w:left="690" w:hanging="240"/>
        <w:rPr>
          <w:rFonts w:ascii="等线" w:eastAsia="等线" w:hAnsi="Times New Roman"/>
          <w:color w:val="000000"/>
        </w:rPr>
      </w:pPr>
      <w:r w:rsidRPr="001A76D8">
        <w:rPr>
          <w:rFonts w:ascii="等线" w:eastAsia="等线" w:hAnsi="Times New Roman"/>
          <w:color w:val="000000"/>
        </w:rPr>
        <w:t xml:space="preserve">The Fourth Amendment to the Patent Law, Fang Qi and Danae Wu, China Law &amp; Practice, November 2020. </w:t>
      </w:r>
    </w:p>
    <w:p w14:paraId="46943C2C" w14:textId="77777777" w:rsidR="001A76D8" w:rsidRDefault="001A76D8" w:rsidP="001A76D8">
      <w:pPr>
        <w:pStyle w:val="af5"/>
        <w:numPr>
          <w:ilvl w:val="0"/>
          <w:numId w:val="35"/>
        </w:numPr>
        <w:spacing w:before="120"/>
        <w:ind w:left="690" w:hanging="240"/>
        <w:rPr>
          <w:rFonts w:ascii="等线" w:eastAsia="等线" w:hAnsi="Times New Roman"/>
          <w:color w:val="000000"/>
        </w:rPr>
      </w:pPr>
      <w:r w:rsidRPr="001A76D8">
        <w:rPr>
          <w:rFonts w:ascii="等线" w:eastAsia="等线" w:hAnsi="Times New Roman"/>
          <w:color w:val="000000"/>
        </w:rPr>
        <w:t>A Panoramic View of China</w:t>
      </w:r>
      <w:r w:rsidRPr="001A76D8">
        <w:rPr>
          <w:rFonts w:ascii="等线" w:eastAsia="等线" w:hAnsi="Times New Roman"/>
          <w:color w:val="000000"/>
        </w:rPr>
        <w:t>’</w:t>
      </w:r>
      <w:r w:rsidRPr="001A76D8">
        <w:rPr>
          <w:rFonts w:ascii="等线" w:eastAsia="等线" w:hAnsi="Times New Roman"/>
          <w:color w:val="000000"/>
        </w:rPr>
        <w:t xml:space="preserve">s Changing IP Landscape, Fang Qi, China Law &amp; Practice, February 2020 </w:t>
      </w:r>
    </w:p>
    <w:p w14:paraId="58747902" w14:textId="77777777" w:rsidR="001A76D8" w:rsidRDefault="001A76D8" w:rsidP="001A76D8">
      <w:pPr>
        <w:pStyle w:val="af5"/>
        <w:numPr>
          <w:ilvl w:val="0"/>
          <w:numId w:val="36"/>
        </w:numPr>
        <w:spacing w:before="120"/>
        <w:ind w:left="690" w:hanging="240"/>
        <w:rPr>
          <w:rFonts w:ascii="等线" w:eastAsia="等线" w:hAnsi="Times New Roman"/>
          <w:color w:val="000000"/>
        </w:rPr>
      </w:pPr>
      <w:r w:rsidRPr="001A76D8">
        <w:rPr>
          <w:rFonts w:ascii="等线" w:eastAsia="等线" w:hAnsi="Times New Roman"/>
          <w:color w:val="000000"/>
        </w:rPr>
        <w:t xml:space="preserve">Annual Review on Intellectual Property Legislation and Practices, China Law &amp; Practice, February 2020 </w:t>
      </w:r>
    </w:p>
    <w:p w14:paraId="65A9B74F" w14:textId="77777777" w:rsidR="001A76D8" w:rsidRDefault="001A76D8" w:rsidP="001A76D8">
      <w:pPr>
        <w:pStyle w:val="af5"/>
        <w:numPr>
          <w:ilvl w:val="0"/>
          <w:numId w:val="37"/>
        </w:numPr>
        <w:spacing w:before="120"/>
        <w:ind w:left="690" w:hanging="240"/>
        <w:rPr>
          <w:rFonts w:ascii="等线" w:eastAsia="等线" w:hAnsi="Times New Roman"/>
          <w:color w:val="000000"/>
        </w:rPr>
      </w:pPr>
      <w:r w:rsidRPr="001A76D8">
        <w:rPr>
          <w:rFonts w:ascii="等线" w:eastAsia="等线" w:hAnsi="Times New Roman"/>
          <w:color w:val="000000"/>
        </w:rPr>
        <w:t>Highlights from the SPC</w:t>
      </w:r>
      <w:r w:rsidRPr="001A76D8">
        <w:rPr>
          <w:rFonts w:ascii="等线" w:eastAsia="等线" w:hAnsi="Times New Roman"/>
          <w:color w:val="000000"/>
        </w:rPr>
        <w:t>’</w:t>
      </w:r>
      <w:r w:rsidRPr="001A76D8">
        <w:rPr>
          <w:rFonts w:ascii="等线" w:eastAsia="等线" w:hAnsi="Times New Roman"/>
          <w:color w:val="000000"/>
        </w:rPr>
        <w:t xml:space="preserve">s 2018 Annual Report on Intellectual Property Cases, Fang Qi and Melanie Zheng, China Law &amp; Practice, Q3 2019 </w:t>
      </w:r>
    </w:p>
    <w:p w14:paraId="0356BB45" w14:textId="77777777" w:rsidR="001A76D8" w:rsidRDefault="001A76D8" w:rsidP="001A76D8">
      <w:pPr>
        <w:pStyle w:val="af5"/>
        <w:numPr>
          <w:ilvl w:val="0"/>
          <w:numId w:val="38"/>
        </w:numPr>
        <w:spacing w:before="120"/>
        <w:ind w:left="690" w:hanging="240"/>
        <w:rPr>
          <w:rFonts w:ascii="等线" w:eastAsia="等线" w:hAnsi="Times New Roman"/>
          <w:color w:val="000000"/>
        </w:rPr>
      </w:pPr>
      <w:r w:rsidRPr="001A76D8">
        <w:rPr>
          <w:rFonts w:ascii="等线" w:eastAsia="等线" w:hAnsi="Times New Roman"/>
          <w:color w:val="000000"/>
        </w:rPr>
        <w:t>Review of the Supreme People</w:t>
      </w:r>
      <w:r w:rsidRPr="001A76D8">
        <w:rPr>
          <w:rFonts w:ascii="等线" w:eastAsia="等线" w:hAnsi="Times New Roman"/>
          <w:color w:val="000000"/>
        </w:rPr>
        <w:t>’</w:t>
      </w:r>
      <w:r w:rsidRPr="001A76D8">
        <w:rPr>
          <w:rFonts w:ascii="等线" w:eastAsia="等线" w:hAnsi="Times New Roman"/>
          <w:color w:val="000000"/>
        </w:rPr>
        <w:t>s Court</w:t>
      </w:r>
      <w:r w:rsidRPr="001A76D8">
        <w:rPr>
          <w:rFonts w:ascii="等线" w:eastAsia="等线" w:hAnsi="Times New Roman"/>
          <w:color w:val="000000"/>
        </w:rPr>
        <w:t>’</w:t>
      </w:r>
      <w:r w:rsidRPr="001A76D8">
        <w:rPr>
          <w:rFonts w:ascii="等线" w:eastAsia="等线" w:hAnsi="Times New Roman"/>
          <w:color w:val="000000"/>
        </w:rPr>
        <w:t xml:space="preserve">s 2017 Annual Report on Intellectual Property Cases, Fang Qi and Melanie Zheng, China Law &amp; Practice, Q3 2018 </w:t>
      </w:r>
    </w:p>
    <w:p w14:paraId="2A31BA32" w14:textId="77777777" w:rsidR="001A76D8" w:rsidRDefault="001A76D8" w:rsidP="001A76D8">
      <w:pPr>
        <w:pStyle w:val="af5"/>
        <w:numPr>
          <w:ilvl w:val="0"/>
          <w:numId w:val="39"/>
        </w:numPr>
        <w:spacing w:before="120"/>
        <w:ind w:left="690" w:hanging="240"/>
        <w:rPr>
          <w:rFonts w:ascii="等线" w:eastAsia="等线" w:hAnsi="Times New Roman"/>
          <w:color w:val="000000"/>
        </w:rPr>
      </w:pPr>
      <w:r w:rsidRPr="001A76D8">
        <w:rPr>
          <w:rFonts w:ascii="等线" w:eastAsia="等线" w:hAnsi="Times New Roman"/>
          <w:color w:val="000000"/>
        </w:rPr>
        <w:t xml:space="preserve">How a Foreign Partner Secures its IPR Transfer in China, Fang Qi, China Law &amp; Practice, Q2 2018 </w:t>
      </w:r>
    </w:p>
    <w:p w14:paraId="3A9DBB68" w14:textId="77777777" w:rsidR="001A76D8" w:rsidRDefault="001A76D8" w:rsidP="001A76D8">
      <w:pPr>
        <w:pStyle w:val="af5"/>
        <w:numPr>
          <w:ilvl w:val="0"/>
          <w:numId w:val="40"/>
        </w:numPr>
        <w:spacing w:before="120"/>
        <w:ind w:left="690" w:hanging="240"/>
        <w:rPr>
          <w:rFonts w:ascii="等线" w:eastAsia="等线" w:hAnsi="Times New Roman"/>
          <w:color w:val="000000"/>
        </w:rPr>
      </w:pPr>
      <w:r w:rsidRPr="001A76D8">
        <w:rPr>
          <w:rFonts w:ascii="等线" w:eastAsia="等线" w:hAnsi="Times New Roman"/>
          <w:color w:val="000000"/>
        </w:rPr>
        <w:t>Private Antitrust Litigation Guide</w:t>
      </w:r>
      <w:r w:rsidRPr="001A76D8">
        <w:rPr>
          <w:rFonts w:ascii="等线" w:eastAsia="等线" w:hAnsi="Times New Roman"/>
          <w:color w:val="000000"/>
        </w:rPr>
        <w:t>–</w:t>
      </w:r>
      <w:r w:rsidRPr="001A76D8">
        <w:rPr>
          <w:rFonts w:ascii="等线" w:eastAsia="等线" w:hAnsi="Times New Roman"/>
          <w:color w:val="000000"/>
        </w:rPr>
        <w:t xml:space="preserve">China, Fang Qi, Practical Law, December 2017 </w:t>
      </w:r>
    </w:p>
    <w:p w14:paraId="1BDDD837" w14:textId="77777777" w:rsidR="001A76D8" w:rsidRDefault="001A76D8" w:rsidP="001A76D8">
      <w:pPr>
        <w:pStyle w:val="af5"/>
        <w:numPr>
          <w:ilvl w:val="0"/>
          <w:numId w:val="41"/>
        </w:numPr>
        <w:spacing w:before="120"/>
        <w:ind w:left="690" w:hanging="240"/>
        <w:rPr>
          <w:rFonts w:ascii="等线" w:eastAsia="等线" w:hAnsi="Times New Roman"/>
          <w:color w:val="000000"/>
        </w:rPr>
      </w:pPr>
      <w:r w:rsidRPr="001A76D8">
        <w:rPr>
          <w:rFonts w:ascii="等线" w:eastAsia="等线" w:hAnsi="Times New Roman"/>
          <w:color w:val="000000"/>
        </w:rPr>
        <w:t xml:space="preserve">Parallel Imports and Chinese Intellectual Property Laws, Fang Qi and Keira Li, Practical Law, June 2017 </w:t>
      </w:r>
    </w:p>
    <w:p w14:paraId="5C9CCC20" w14:textId="77777777" w:rsidR="001A76D8" w:rsidRDefault="001A76D8" w:rsidP="001A76D8">
      <w:pPr>
        <w:pStyle w:val="af5"/>
        <w:numPr>
          <w:ilvl w:val="0"/>
          <w:numId w:val="42"/>
        </w:numPr>
        <w:spacing w:before="120"/>
        <w:ind w:left="690" w:hanging="240"/>
        <w:rPr>
          <w:rFonts w:ascii="等线" w:eastAsia="等线" w:hAnsi="Times New Roman"/>
          <w:color w:val="000000"/>
        </w:rPr>
      </w:pPr>
      <w:r w:rsidRPr="001A76D8">
        <w:rPr>
          <w:rFonts w:ascii="等线" w:eastAsia="等线" w:hAnsi="Times New Roman"/>
          <w:color w:val="000000"/>
        </w:rPr>
        <w:t xml:space="preserve">Top Court Boosts Trademark Protection, Tackles Bad Faith, Fang Qi, China Law &amp; Practice, Q2 2017 </w:t>
      </w:r>
    </w:p>
    <w:p w14:paraId="1F90352E" w14:textId="77777777" w:rsidR="001A76D8" w:rsidRDefault="001A76D8" w:rsidP="001A76D8">
      <w:pPr>
        <w:pStyle w:val="af5"/>
        <w:numPr>
          <w:ilvl w:val="0"/>
          <w:numId w:val="43"/>
        </w:numPr>
        <w:spacing w:before="120"/>
        <w:ind w:left="690" w:hanging="240"/>
        <w:rPr>
          <w:rFonts w:ascii="等线" w:eastAsia="等线" w:hAnsi="Times New Roman"/>
          <w:color w:val="000000"/>
        </w:rPr>
      </w:pPr>
      <w:r w:rsidRPr="001A76D8">
        <w:rPr>
          <w:rFonts w:ascii="等线" w:eastAsia="等线" w:hAnsi="Times New Roman"/>
          <w:color w:val="000000"/>
        </w:rPr>
        <w:t xml:space="preserve">Legal Basis for Bringing Private Antitrust Litigation Actions, Fang Qi, Practical Law, 2016 </w:t>
      </w:r>
    </w:p>
    <w:p w14:paraId="2B600F3E" w14:textId="77777777" w:rsidR="001A76D8" w:rsidRDefault="001A76D8" w:rsidP="001A76D8">
      <w:pPr>
        <w:pStyle w:val="af5"/>
        <w:numPr>
          <w:ilvl w:val="0"/>
          <w:numId w:val="44"/>
        </w:numPr>
        <w:spacing w:before="120"/>
        <w:ind w:left="690" w:hanging="240"/>
        <w:rPr>
          <w:rFonts w:ascii="等线" w:eastAsia="等线" w:hAnsi="Times New Roman"/>
          <w:color w:val="000000"/>
        </w:rPr>
      </w:pPr>
      <w:r w:rsidRPr="001A76D8">
        <w:rPr>
          <w:rFonts w:ascii="等线" w:eastAsia="等线" w:hAnsi="Times New Roman"/>
          <w:color w:val="000000"/>
        </w:rPr>
        <w:t>Understanding the Courts</w:t>
      </w:r>
      <w:r w:rsidRPr="001A76D8">
        <w:rPr>
          <w:rFonts w:ascii="等线" w:eastAsia="等线" w:hAnsi="Times New Roman"/>
          <w:color w:val="000000"/>
        </w:rPr>
        <w:t>’</w:t>
      </w:r>
      <w:r w:rsidRPr="001A76D8">
        <w:rPr>
          <w:rFonts w:ascii="等线" w:eastAsia="等线" w:hAnsi="Times New Roman"/>
          <w:color w:val="000000"/>
        </w:rPr>
        <w:t xml:space="preserve"> Approach to Trade Secret Cases, China Law &amp; Practice, January 2016 </w:t>
      </w:r>
    </w:p>
    <w:p w14:paraId="7B9A79CB" w14:textId="77777777" w:rsidR="001A76D8" w:rsidRDefault="001A76D8" w:rsidP="001A76D8">
      <w:pPr>
        <w:pStyle w:val="af5"/>
        <w:numPr>
          <w:ilvl w:val="0"/>
          <w:numId w:val="45"/>
        </w:numPr>
        <w:spacing w:before="120"/>
        <w:ind w:left="690" w:hanging="240"/>
        <w:rPr>
          <w:rFonts w:ascii="等线" w:eastAsia="等线" w:hAnsi="Times New Roman"/>
          <w:color w:val="000000"/>
        </w:rPr>
      </w:pPr>
      <w:r w:rsidRPr="001A76D8">
        <w:rPr>
          <w:rFonts w:ascii="等线" w:eastAsia="等线" w:hAnsi="Times New Roman"/>
          <w:color w:val="000000"/>
        </w:rPr>
        <w:t xml:space="preserve">SEP Lessons Learned From Huawei v. ZTE, Fan Guo and Fang Qi, China Law &amp; Practice, August 2015 </w:t>
      </w:r>
    </w:p>
    <w:p w14:paraId="672DDEF0" w14:textId="77777777" w:rsidR="001A76D8" w:rsidRDefault="001A76D8" w:rsidP="001A76D8">
      <w:pPr>
        <w:pStyle w:val="af5"/>
        <w:numPr>
          <w:ilvl w:val="0"/>
          <w:numId w:val="46"/>
        </w:numPr>
        <w:spacing w:before="120"/>
        <w:ind w:left="690" w:hanging="240"/>
        <w:rPr>
          <w:rFonts w:ascii="等线" w:eastAsia="等线" w:hAnsi="Times New Roman"/>
          <w:color w:val="000000"/>
        </w:rPr>
      </w:pPr>
      <w:r w:rsidRPr="001A76D8">
        <w:rPr>
          <w:rFonts w:ascii="等线" w:eastAsia="等线" w:hAnsi="Times New Roman"/>
          <w:color w:val="000000"/>
        </w:rPr>
        <w:t xml:space="preserve">China: Antitrust Litigation, Fang Qi, The Asia-Pacific Antitrust Review, 2015 </w:t>
      </w:r>
    </w:p>
    <w:p w14:paraId="4C058335" w14:textId="77777777" w:rsidR="001A76D8" w:rsidRDefault="001A76D8" w:rsidP="001A76D8">
      <w:pPr>
        <w:pStyle w:val="af5"/>
        <w:numPr>
          <w:ilvl w:val="0"/>
          <w:numId w:val="47"/>
        </w:numPr>
        <w:spacing w:before="120"/>
        <w:ind w:left="690" w:hanging="240"/>
        <w:rPr>
          <w:rFonts w:ascii="等线" w:eastAsia="等线" w:hAnsi="Times New Roman"/>
          <w:color w:val="000000"/>
        </w:rPr>
      </w:pPr>
      <w:r w:rsidRPr="001A76D8">
        <w:rPr>
          <w:rFonts w:ascii="等线" w:eastAsia="等线" w:hAnsi="Times New Roman"/>
          <w:color w:val="000000"/>
        </w:rPr>
        <w:t xml:space="preserve">What the WeChat Case Says about Court Trends, Fang Qi, China Law &amp; Practice, May, 2015 </w:t>
      </w:r>
    </w:p>
    <w:p w14:paraId="32FCE83C" w14:textId="77777777" w:rsidR="001A76D8" w:rsidRDefault="001A76D8" w:rsidP="001A76D8">
      <w:pPr>
        <w:pStyle w:val="af5"/>
        <w:numPr>
          <w:ilvl w:val="0"/>
          <w:numId w:val="48"/>
        </w:numPr>
        <w:spacing w:before="120"/>
        <w:ind w:left="690" w:hanging="240"/>
        <w:rPr>
          <w:rFonts w:ascii="等线" w:eastAsia="等线" w:hAnsi="Times New Roman"/>
          <w:color w:val="000000"/>
        </w:rPr>
      </w:pPr>
      <w:r w:rsidRPr="001A76D8">
        <w:rPr>
          <w:rFonts w:ascii="等线" w:eastAsia="等线" w:hAnsi="Times New Roman"/>
          <w:color w:val="000000"/>
        </w:rPr>
        <w:t xml:space="preserve">China: Antitrust Litigation, Fang Qi, The Asia-Pacific Antitrust Review, 2014 </w:t>
      </w:r>
    </w:p>
    <w:p w14:paraId="72393470" w14:textId="77777777" w:rsidR="001A76D8" w:rsidRDefault="001A76D8" w:rsidP="001A76D8">
      <w:pPr>
        <w:pStyle w:val="af5"/>
        <w:numPr>
          <w:ilvl w:val="0"/>
          <w:numId w:val="49"/>
        </w:numPr>
        <w:spacing w:before="120"/>
        <w:ind w:left="690" w:hanging="240"/>
        <w:rPr>
          <w:rFonts w:ascii="等线" w:eastAsia="等线" w:hAnsi="Times New Roman"/>
          <w:color w:val="000000"/>
        </w:rPr>
      </w:pPr>
      <w:r w:rsidRPr="001A76D8">
        <w:rPr>
          <w:rFonts w:ascii="等线" w:eastAsia="等线" w:hAnsi="Times New Roman"/>
          <w:color w:val="000000"/>
        </w:rPr>
        <w:t xml:space="preserve">The Pains of Judicial Reform, Fang Qi, China Law &amp; Practice, September 2014 </w:t>
      </w:r>
    </w:p>
    <w:p w14:paraId="730FF708" w14:textId="77777777" w:rsidR="001A76D8" w:rsidRDefault="001A76D8" w:rsidP="001A76D8">
      <w:pPr>
        <w:pStyle w:val="af5"/>
        <w:numPr>
          <w:ilvl w:val="0"/>
          <w:numId w:val="50"/>
        </w:numPr>
        <w:spacing w:before="120"/>
        <w:ind w:left="690" w:hanging="240"/>
        <w:rPr>
          <w:rFonts w:ascii="等线" w:eastAsia="等线" w:hAnsi="Times New Roman"/>
          <w:color w:val="000000"/>
        </w:rPr>
      </w:pPr>
      <w:r w:rsidRPr="001A76D8">
        <w:rPr>
          <w:rFonts w:ascii="等线" w:eastAsia="等线" w:hAnsi="Times New Roman"/>
          <w:color w:val="000000"/>
        </w:rPr>
        <w:t xml:space="preserve">Consideration of Economic Evidence by Chinese Courts in Antitrust Litigation, Fang Qi, Yan Luo and Marshall Yan, Competition Policy International, February 2014 </w:t>
      </w:r>
    </w:p>
    <w:p w14:paraId="1AFBFBEB" w14:textId="77777777" w:rsidR="001A76D8" w:rsidRDefault="001A76D8" w:rsidP="001A76D8">
      <w:pPr>
        <w:pStyle w:val="af5"/>
        <w:numPr>
          <w:ilvl w:val="0"/>
          <w:numId w:val="51"/>
        </w:numPr>
        <w:spacing w:before="120"/>
        <w:ind w:left="690" w:hanging="240"/>
        <w:rPr>
          <w:rFonts w:ascii="等线" w:eastAsia="等线" w:hAnsi="Times New Roman"/>
          <w:color w:val="000000"/>
        </w:rPr>
      </w:pPr>
      <w:r w:rsidRPr="001A76D8">
        <w:rPr>
          <w:rFonts w:ascii="等线" w:eastAsia="等线" w:hAnsi="Times New Roman"/>
          <w:color w:val="000000"/>
        </w:rPr>
        <w:t xml:space="preserve">Courts Get Tough on Resale Price Maintenance, Fang Qi &amp; Haiyan Tao, China Law &amp; Practice, September 2013 </w:t>
      </w:r>
    </w:p>
    <w:p w14:paraId="48F1B277" w14:textId="77777777" w:rsidR="001A76D8" w:rsidRDefault="001A76D8" w:rsidP="001A76D8">
      <w:pPr>
        <w:pStyle w:val="af5"/>
        <w:numPr>
          <w:ilvl w:val="0"/>
          <w:numId w:val="52"/>
        </w:numPr>
        <w:spacing w:before="120"/>
        <w:ind w:left="690" w:hanging="240"/>
        <w:rPr>
          <w:rFonts w:ascii="等线" w:eastAsia="等线" w:hAnsi="Times New Roman"/>
          <w:color w:val="000000"/>
        </w:rPr>
      </w:pPr>
      <w:r w:rsidRPr="001A76D8">
        <w:rPr>
          <w:rFonts w:ascii="等线" w:eastAsia="等线" w:hAnsi="Times New Roman"/>
          <w:color w:val="000000"/>
        </w:rPr>
        <w:t xml:space="preserve">Failing to Define the Relevant Market, Fang Qi, China Law &amp; Practice, July 2013 </w:t>
      </w:r>
    </w:p>
    <w:p w14:paraId="58C91C65" w14:textId="77777777" w:rsidR="001A76D8" w:rsidRDefault="001A76D8" w:rsidP="001A76D8">
      <w:pPr>
        <w:pStyle w:val="af5"/>
        <w:numPr>
          <w:ilvl w:val="0"/>
          <w:numId w:val="53"/>
        </w:numPr>
        <w:spacing w:before="120"/>
        <w:ind w:left="690" w:hanging="240"/>
        <w:rPr>
          <w:rFonts w:ascii="等线" w:eastAsia="等线" w:hAnsi="Times New Roman"/>
          <w:color w:val="000000"/>
        </w:rPr>
      </w:pPr>
      <w:r w:rsidRPr="001A76D8">
        <w:rPr>
          <w:rFonts w:ascii="等线" w:eastAsia="等线" w:hAnsi="Times New Roman"/>
          <w:color w:val="000000"/>
        </w:rPr>
        <w:t xml:space="preserve">Curbing Damage Awards, Fang Qi, China Law &amp; Practice, March 2013 </w:t>
      </w:r>
    </w:p>
    <w:p w14:paraId="79CCB71C" w14:textId="77777777" w:rsidR="001A76D8" w:rsidRDefault="001A76D8" w:rsidP="001A76D8">
      <w:pPr>
        <w:pStyle w:val="af5"/>
        <w:numPr>
          <w:ilvl w:val="0"/>
          <w:numId w:val="54"/>
        </w:numPr>
        <w:spacing w:before="120"/>
        <w:ind w:left="690" w:hanging="240"/>
        <w:rPr>
          <w:rFonts w:ascii="等线" w:eastAsia="等线" w:hAnsi="Times New Roman"/>
          <w:color w:val="000000"/>
        </w:rPr>
      </w:pPr>
      <w:r w:rsidRPr="001A76D8">
        <w:rPr>
          <w:rFonts w:ascii="等线" w:eastAsia="等线" w:hAnsi="Times New Roman"/>
          <w:color w:val="000000"/>
        </w:rPr>
        <w:t xml:space="preserve">Microsoft v. Motorola: License of Standard Essential Patents, Fang Qi, Nye Wang, Technology Innovation and Intellectual Property, 2nd Issue, 2013 </w:t>
      </w:r>
    </w:p>
    <w:p w14:paraId="41C2686F" w14:textId="77777777" w:rsidR="001A76D8" w:rsidRDefault="001A76D8" w:rsidP="001A76D8">
      <w:pPr>
        <w:pStyle w:val="af5"/>
        <w:numPr>
          <w:ilvl w:val="0"/>
          <w:numId w:val="55"/>
        </w:numPr>
        <w:spacing w:before="120"/>
        <w:ind w:left="690" w:hanging="240"/>
        <w:rPr>
          <w:rFonts w:ascii="等线" w:eastAsia="等线" w:hAnsi="Times New Roman"/>
          <w:color w:val="000000"/>
        </w:rPr>
      </w:pPr>
      <w:r w:rsidRPr="001A76D8">
        <w:rPr>
          <w:rFonts w:ascii="等线" w:eastAsia="等线" w:hAnsi="Times New Roman"/>
          <w:color w:val="000000"/>
        </w:rPr>
        <w:t xml:space="preserve">Prior Art Defense in Patent Litigation: A Legal Quagmire? Fang Qi, China Law &amp; Practice, January, 2012 </w:t>
      </w:r>
    </w:p>
    <w:p w14:paraId="79420063" w14:textId="77777777" w:rsidR="001A76D8" w:rsidRDefault="001A76D8" w:rsidP="001A76D8">
      <w:pPr>
        <w:pStyle w:val="af5"/>
        <w:numPr>
          <w:ilvl w:val="0"/>
          <w:numId w:val="56"/>
        </w:numPr>
        <w:spacing w:before="120"/>
        <w:ind w:left="690" w:hanging="240"/>
        <w:rPr>
          <w:rFonts w:ascii="等线" w:eastAsia="等线" w:hAnsi="Times New Roman"/>
          <w:color w:val="000000"/>
        </w:rPr>
      </w:pPr>
      <w:r w:rsidRPr="001A76D8">
        <w:rPr>
          <w:rFonts w:ascii="等线" w:eastAsia="等线" w:hAnsi="Times New Roman"/>
          <w:color w:val="000000"/>
        </w:rPr>
        <w:t xml:space="preserve">Web Search War: Renren v. Baidu, Fang Qi &amp; Tingting Liao, China Law &amp; Practice, November 2011 </w:t>
      </w:r>
    </w:p>
    <w:p w14:paraId="33800E51" w14:textId="77777777" w:rsidR="001A76D8" w:rsidRDefault="001A76D8" w:rsidP="001A76D8">
      <w:pPr>
        <w:pStyle w:val="af5"/>
        <w:numPr>
          <w:ilvl w:val="0"/>
          <w:numId w:val="57"/>
        </w:numPr>
        <w:spacing w:before="120"/>
        <w:ind w:left="690" w:hanging="240"/>
        <w:rPr>
          <w:rFonts w:ascii="等线" w:eastAsia="等线" w:hAnsi="Times New Roman"/>
          <w:color w:val="000000"/>
        </w:rPr>
      </w:pPr>
      <w:r w:rsidRPr="001A76D8">
        <w:rPr>
          <w:rFonts w:ascii="等线" w:eastAsia="等线" w:hAnsi="Times New Roman"/>
          <w:color w:val="000000"/>
        </w:rPr>
        <w:t xml:space="preserve">Searching For a Seller, Fang Qi, China Law &amp; Practice, July 2011 </w:t>
      </w:r>
    </w:p>
    <w:p w14:paraId="5567FC3C" w14:textId="13385949" w:rsidR="00686369" w:rsidRPr="001A76D8" w:rsidRDefault="001A76D8" w:rsidP="001A76D8">
      <w:pPr>
        <w:pStyle w:val="af5"/>
        <w:numPr>
          <w:ilvl w:val="0"/>
          <w:numId w:val="58"/>
        </w:numPr>
        <w:spacing w:before="120"/>
        <w:ind w:left="690" w:hanging="240"/>
        <w:rPr>
          <w:rFonts w:ascii="等线" w:eastAsia="等线" w:hAnsi="Times New Roman"/>
          <w:color w:val="000000"/>
        </w:rPr>
      </w:pPr>
      <w:r w:rsidRPr="001A76D8">
        <w:rPr>
          <w:rFonts w:ascii="等线" w:eastAsia="等线" w:hAnsi="Times New Roman"/>
          <w:color w:val="000000"/>
        </w:rPr>
        <w:t xml:space="preserve">Uneasy Options, Fang Qi, China Law &amp; Practice, February 2011. </w:t>
      </w:r>
    </w:p>
    <w:sectPr w:rsidR="00686369" w:rsidRPr="001A76D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84B26"/>
    <w:multiLevelType w:val="singleLevel"/>
    <w:tmpl w:val="727C9F1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B27CDF"/>
    <w:multiLevelType w:val="singleLevel"/>
    <w:tmpl w:val="9814C6D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AE4575"/>
    <w:multiLevelType w:val="singleLevel"/>
    <w:tmpl w:val="E78A1C2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A2381F"/>
    <w:multiLevelType w:val="singleLevel"/>
    <w:tmpl w:val="0CE037D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0A4B73"/>
    <w:multiLevelType w:val="singleLevel"/>
    <w:tmpl w:val="4802FC8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70B68DC"/>
    <w:multiLevelType w:val="singleLevel"/>
    <w:tmpl w:val="8EE8FDC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9B048F0"/>
    <w:multiLevelType w:val="singleLevel"/>
    <w:tmpl w:val="58D68E5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1235B4"/>
    <w:multiLevelType w:val="singleLevel"/>
    <w:tmpl w:val="69206AC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5D396A"/>
    <w:multiLevelType w:val="singleLevel"/>
    <w:tmpl w:val="ED1AAC5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30C5637"/>
    <w:multiLevelType w:val="singleLevel"/>
    <w:tmpl w:val="792E7BC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3D87FC3"/>
    <w:multiLevelType w:val="singleLevel"/>
    <w:tmpl w:val="19506D8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3FF60EC"/>
    <w:multiLevelType w:val="singleLevel"/>
    <w:tmpl w:val="C12060F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4897611"/>
    <w:multiLevelType w:val="singleLevel"/>
    <w:tmpl w:val="E9AADAF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8C61395"/>
    <w:multiLevelType w:val="singleLevel"/>
    <w:tmpl w:val="3D8C908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C0B7A63"/>
    <w:multiLevelType w:val="singleLevel"/>
    <w:tmpl w:val="1806212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53D4AEB"/>
    <w:multiLevelType w:val="singleLevel"/>
    <w:tmpl w:val="B0D68F2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82A0F2C"/>
    <w:multiLevelType w:val="singleLevel"/>
    <w:tmpl w:val="DD0804B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BCD19DF"/>
    <w:multiLevelType w:val="singleLevel"/>
    <w:tmpl w:val="0B2AB58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4F45C6"/>
    <w:multiLevelType w:val="singleLevel"/>
    <w:tmpl w:val="84449A0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FA74F62"/>
    <w:multiLevelType w:val="singleLevel"/>
    <w:tmpl w:val="AE02397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2D83DF1"/>
    <w:multiLevelType w:val="singleLevel"/>
    <w:tmpl w:val="4516EFC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4C763A3"/>
    <w:multiLevelType w:val="singleLevel"/>
    <w:tmpl w:val="4928E5B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69E1BB8"/>
    <w:multiLevelType w:val="singleLevel"/>
    <w:tmpl w:val="60AE7C5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7D8102A"/>
    <w:multiLevelType w:val="singleLevel"/>
    <w:tmpl w:val="CF347DE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7E871A3"/>
    <w:multiLevelType w:val="singleLevel"/>
    <w:tmpl w:val="5AF6E2D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9790871"/>
    <w:multiLevelType w:val="singleLevel"/>
    <w:tmpl w:val="C70EDBD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B655981"/>
    <w:multiLevelType w:val="singleLevel"/>
    <w:tmpl w:val="9E34A2D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DA821C9"/>
    <w:multiLevelType w:val="singleLevel"/>
    <w:tmpl w:val="023870B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E5F1505"/>
    <w:multiLevelType w:val="singleLevel"/>
    <w:tmpl w:val="D5C226F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FA96764"/>
    <w:multiLevelType w:val="singleLevel"/>
    <w:tmpl w:val="ACAAA86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18B3BE4"/>
    <w:multiLevelType w:val="singleLevel"/>
    <w:tmpl w:val="63F2AD7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24D36DF"/>
    <w:multiLevelType w:val="singleLevel"/>
    <w:tmpl w:val="DC02EAF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41A5468"/>
    <w:multiLevelType w:val="singleLevel"/>
    <w:tmpl w:val="B9268D3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8052C6E"/>
    <w:multiLevelType w:val="singleLevel"/>
    <w:tmpl w:val="4EC8C55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81624EB"/>
    <w:multiLevelType w:val="singleLevel"/>
    <w:tmpl w:val="1458BBD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86D2F47"/>
    <w:multiLevelType w:val="singleLevel"/>
    <w:tmpl w:val="17DC92C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9A80487"/>
    <w:multiLevelType w:val="singleLevel"/>
    <w:tmpl w:val="28E662B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CCF5E31"/>
    <w:multiLevelType w:val="singleLevel"/>
    <w:tmpl w:val="53DEC2F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CE95E5B"/>
    <w:multiLevelType w:val="singleLevel"/>
    <w:tmpl w:val="1804C49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D870930"/>
    <w:multiLevelType w:val="singleLevel"/>
    <w:tmpl w:val="E9E4631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E8A5680"/>
    <w:multiLevelType w:val="singleLevel"/>
    <w:tmpl w:val="87F8A22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FDF5A04"/>
    <w:multiLevelType w:val="singleLevel"/>
    <w:tmpl w:val="310C294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0E649D5"/>
    <w:multiLevelType w:val="singleLevel"/>
    <w:tmpl w:val="EEF266E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18F1B12"/>
    <w:multiLevelType w:val="singleLevel"/>
    <w:tmpl w:val="7AE04DF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3A63D33"/>
    <w:multiLevelType w:val="singleLevel"/>
    <w:tmpl w:val="2708D30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43958E7"/>
    <w:multiLevelType w:val="singleLevel"/>
    <w:tmpl w:val="70340BB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4A4703F"/>
    <w:multiLevelType w:val="singleLevel"/>
    <w:tmpl w:val="3C7E3B5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DCC2D65"/>
    <w:multiLevelType w:val="singleLevel"/>
    <w:tmpl w:val="FFEEDA3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2936A4F"/>
    <w:multiLevelType w:val="singleLevel"/>
    <w:tmpl w:val="E78A1C2C"/>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F7E7503"/>
    <w:multiLevelType w:val="singleLevel"/>
    <w:tmpl w:val="3FF635D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F957560"/>
    <w:multiLevelType w:val="singleLevel"/>
    <w:tmpl w:val="B7DA9D50"/>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05F45EC"/>
    <w:multiLevelType w:val="singleLevel"/>
    <w:tmpl w:val="2118DF60"/>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0606C38"/>
    <w:multiLevelType w:val="singleLevel"/>
    <w:tmpl w:val="3B963E1E"/>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58F4580"/>
    <w:multiLevelType w:val="singleLevel"/>
    <w:tmpl w:val="E218337E"/>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6B269E2"/>
    <w:multiLevelType w:val="singleLevel"/>
    <w:tmpl w:val="71B8FAE2"/>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8B04D0F"/>
    <w:multiLevelType w:val="singleLevel"/>
    <w:tmpl w:val="0D36303C"/>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BD20A87"/>
    <w:multiLevelType w:val="singleLevel"/>
    <w:tmpl w:val="D1A665A6"/>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D015A5A"/>
    <w:multiLevelType w:val="singleLevel"/>
    <w:tmpl w:val="50D8F9D8"/>
    <w:lvl w:ilvl="0">
      <w:start w:val="1"/>
      <w:numFmt w:val="bullet"/>
      <w:lvlText w:val=""/>
      <w:lvlJc w:val="left"/>
      <w:pPr>
        <w:tabs>
          <w:tab w:val="num" w:pos="200"/>
        </w:tabs>
        <w:ind w:left="200" w:hanging="200"/>
      </w:pPr>
      <w:rPr>
        <w:rFonts w:ascii="Wingdings" w:hAnsi="Wingdings" w:hint="default"/>
        <w:sz w:val="16"/>
      </w:rPr>
    </w:lvl>
  </w:abstractNum>
  <w:num w:numId="1">
    <w:abstractNumId w:val="47"/>
  </w:num>
  <w:num w:numId="2">
    <w:abstractNumId w:val="44"/>
  </w:num>
  <w:num w:numId="3">
    <w:abstractNumId w:val="39"/>
  </w:num>
  <w:num w:numId="4">
    <w:abstractNumId w:val="4"/>
  </w:num>
  <w:num w:numId="5">
    <w:abstractNumId w:val="1"/>
  </w:num>
  <w:num w:numId="6">
    <w:abstractNumId w:val="40"/>
  </w:num>
  <w:num w:numId="7">
    <w:abstractNumId w:val="33"/>
  </w:num>
  <w:num w:numId="8">
    <w:abstractNumId w:val="54"/>
  </w:num>
  <w:num w:numId="9">
    <w:abstractNumId w:val="13"/>
  </w:num>
  <w:num w:numId="10">
    <w:abstractNumId w:val="14"/>
  </w:num>
  <w:num w:numId="11">
    <w:abstractNumId w:val="9"/>
  </w:num>
  <w:num w:numId="12">
    <w:abstractNumId w:val="22"/>
  </w:num>
  <w:num w:numId="13">
    <w:abstractNumId w:val="38"/>
  </w:num>
  <w:num w:numId="14">
    <w:abstractNumId w:val="32"/>
  </w:num>
  <w:num w:numId="15">
    <w:abstractNumId w:val="5"/>
  </w:num>
  <w:num w:numId="16">
    <w:abstractNumId w:val="27"/>
  </w:num>
  <w:num w:numId="17">
    <w:abstractNumId w:val="53"/>
  </w:num>
  <w:num w:numId="18">
    <w:abstractNumId w:val="57"/>
  </w:num>
  <w:num w:numId="19">
    <w:abstractNumId w:val="26"/>
  </w:num>
  <w:num w:numId="20">
    <w:abstractNumId w:val="18"/>
  </w:num>
  <w:num w:numId="21">
    <w:abstractNumId w:val="52"/>
  </w:num>
  <w:num w:numId="22">
    <w:abstractNumId w:val="20"/>
  </w:num>
  <w:num w:numId="23">
    <w:abstractNumId w:val="56"/>
  </w:num>
  <w:num w:numId="24">
    <w:abstractNumId w:val="11"/>
  </w:num>
  <w:num w:numId="25">
    <w:abstractNumId w:val="21"/>
  </w:num>
  <w:num w:numId="26">
    <w:abstractNumId w:val="55"/>
  </w:num>
  <w:num w:numId="27">
    <w:abstractNumId w:val="49"/>
  </w:num>
  <w:num w:numId="28">
    <w:abstractNumId w:val="36"/>
  </w:num>
  <w:num w:numId="29">
    <w:abstractNumId w:val="16"/>
  </w:num>
  <w:num w:numId="30">
    <w:abstractNumId w:val="15"/>
  </w:num>
  <w:num w:numId="31">
    <w:abstractNumId w:val="46"/>
  </w:num>
  <w:num w:numId="32">
    <w:abstractNumId w:val="42"/>
  </w:num>
  <w:num w:numId="33">
    <w:abstractNumId w:val="50"/>
  </w:num>
  <w:num w:numId="34">
    <w:abstractNumId w:val="23"/>
  </w:num>
  <w:num w:numId="35">
    <w:abstractNumId w:val="37"/>
  </w:num>
  <w:num w:numId="36">
    <w:abstractNumId w:val="19"/>
  </w:num>
  <w:num w:numId="37">
    <w:abstractNumId w:val="34"/>
  </w:num>
  <w:num w:numId="38">
    <w:abstractNumId w:val="30"/>
  </w:num>
  <w:num w:numId="39">
    <w:abstractNumId w:val="7"/>
  </w:num>
  <w:num w:numId="40">
    <w:abstractNumId w:val="41"/>
  </w:num>
  <w:num w:numId="41">
    <w:abstractNumId w:val="28"/>
  </w:num>
  <w:num w:numId="42">
    <w:abstractNumId w:val="29"/>
  </w:num>
  <w:num w:numId="43">
    <w:abstractNumId w:val="6"/>
  </w:num>
  <w:num w:numId="44">
    <w:abstractNumId w:val="35"/>
  </w:num>
  <w:num w:numId="45">
    <w:abstractNumId w:val="17"/>
  </w:num>
  <w:num w:numId="46">
    <w:abstractNumId w:val="31"/>
  </w:num>
  <w:num w:numId="47">
    <w:abstractNumId w:val="24"/>
  </w:num>
  <w:num w:numId="48">
    <w:abstractNumId w:val="8"/>
  </w:num>
  <w:num w:numId="49">
    <w:abstractNumId w:val="0"/>
  </w:num>
  <w:num w:numId="50">
    <w:abstractNumId w:val="25"/>
  </w:num>
  <w:num w:numId="51">
    <w:abstractNumId w:val="3"/>
  </w:num>
  <w:num w:numId="52">
    <w:abstractNumId w:val="51"/>
  </w:num>
  <w:num w:numId="53">
    <w:abstractNumId w:val="12"/>
  </w:num>
  <w:num w:numId="54">
    <w:abstractNumId w:val="10"/>
  </w:num>
  <w:num w:numId="55">
    <w:abstractNumId w:val="45"/>
  </w:num>
  <w:num w:numId="56">
    <w:abstractNumId w:val="43"/>
  </w:num>
  <w:num w:numId="57">
    <w:abstractNumId w:val="48"/>
  </w:num>
  <w:num w:numId="58">
    <w:abstractNumId w:val="2"/>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A76D8"/>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A76D8"/>
    <w:pPr>
      <w:spacing w:after="120"/>
    </w:pPr>
  </w:style>
  <w:style w:type="character" w:customStyle="1" w:styleId="af6">
    <w:name w:val="正文文本 字符"/>
    <w:basedOn w:val="a0"/>
    <w:link w:val="af5"/>
    <w:uiPriority w:val="99"/>
    <w:rsid w:val="001A76D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159852-0C7C-4572-B791-FA6BFA676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1283</Words>
  <Characters>7315</Characters>
  <Application>Microsoft Office Word</Application>
  <DocSecurity>0</DocSecurity>
  <Lines>60</Lines>
  <Paragraphs>17</Paragraphs>
  <ScaleCrop>false</ScaleCrop>
  <Company/>
  <LinksUpToDate>false</LinksUpToDate>
  <CharactersWithSpaces>8581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2026-08-06T20:09:00Z</dcterms:created>
  <dcterms:modified xsi:type="dcterms:W3CDTF">2026-08-06T20:09:00Z</dcterms:modified>
</cp:coreProperties>
</file>