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409542D" w:rsidR="0049405C" w:rsidRPr="00C24D79" w:rsidRDefault="00E74829" w:rsidP="00E7482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74829">
              <w:rPr>
                <w:rFonts w:ascii="等线" w:eastAsia="等线" w:hAnsi="Times New Roman"/>
                <w:b/>
                <w:color w:val="000000"/>
                <w:sz w:val="48"/>
              </w:rPr>
              <w:t>JEFFREY DING</w:t>
            </w:r>
            <w:bookmarkEnd w:id="0"/>
          </w:p>
          <w:p w14:paraId="4566A01C" w14:textId="77777777" w:rsidR="00E74829" w:rsidRPr="00E74829" w:rsidRDefault="00E74829" w:rsidP="00E74829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E7482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E7482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74829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0D1919E2" w:rsidR="0049405C" w:rsidRPr="00C24D79" w:rsidRDefault="00E74829" w:rsidP="00E7482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E74829">
              <w:rPr>
                <w:rFonts w:ascii="等线" w:eastAsia="等线" w:hAnsi="Times New Roman"/>
                <w:b/>
                <w:bCs/>
                <w:color w:val="000000"/>
              </w:rPr>
              <w:t>Registered Foreign Lawyer (PRC)</w:t>
            </w:r>
            <w:r w:rsidRPr="00E7482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74829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702A010" w:rsidR="0049405C" w:rsidRPr="00C24D79" w:rsidRDefault="00E74829" w:rsidP="00E7482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74829">
              <w:rPr>
                <w:rFonts w:ascii="等线" w:eastAsia="等线" w:hAnsi="Times New Roman"/>
                <w:color w:val="000000"/>
              </w:rPr>
              <w:t xml:space="preserve">+86 10 5769 5605 </w:t>
            </w:r>
            <w:bookmarkEnd w:id="3"/>
          </w:p>
          <w:p w14:paraId="4F910ACA" w14:textId="5AC338B0" w:rsidR="0049405C" w:rsidRPr="00C24D79" w:rsidRDefault="00E74829" w:rsidP="00E7482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74829">
              <w:rPr>
                <w:rFonts w:ascii="等线" w:eastAsia="等线" w:hAnsi="Times New Roman"/>
                <w:color w:val="000000"/>
              </w:rPr>
              <w:t>jding@fangdalaw.com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65AA86D" w:rsidR="0049405C" w:rsidRPr="00C24D79" w:rsidRDefault="00E7482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EFC1F29" wp14:editId="166C402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E629E98" w:rsidR="009465FB" w:rsidRPr="00C24D79" w:rsidRDefault="00E7482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74829">
              <w:rPr>
                <w:rFonts w:ascii="等线" w:eastAsia="等线" w:hAnsi="Times New Roman"/>
                <w:color w:val="000000"/>
                <w:szCs w:val="21"/>
              </w:rPr>
              <w:t>MR. DING SPECIALIZES IN GENERAL CORPORATE MATTERS, M&amp;A, PRIVATE EQUITY AND CAPITAL MARKETS. HE HAS ALSO ADVISED ON MANY CROSS-BORDER ACQUISITIONS, PUBLIC OFFERINGS, PRIVATE PLACEMENTS, AND JOINT VENTURE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9CD4B5D" w14:textId="77777777" w:rsidR="00E7482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2093BBF" w14:textId="77777777" w:rsidR="00E74829" w:rsidRDefault="00E74829" w:rsidP="00E7482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74829">
        <w:rPr>
          <w:rFonts w:ascii="等线" w:eastAsia="等线" w:hAnsi="等线"/>
          <w:b/>
          <w:sz w:val="24"/>
        </w:rPr>
        <w:t>REPRESENTATIVE MATTERS AND CASES</w:t>
      </w:r>
    </w:p>
    <w:p w14:paraId="46054487" w14:textId="77777777" w:rsidR="00E74829" w:rsidRDefault="00E74829" w:rsidP="00E74829">
      <w:pPr>
        <w:pStyle w:val="af5"/>
        <w:spacing w:before="12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M&amp;A</w:t>
      </w:r>
    </w:p>
    <w:p w14:paraId="37C9B0D2" w14:textId="77777777" w:rsidR="00E74829" w:rsidRDefault="00E74829" w:rsidP="00E7482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Represented Zoomlion Heavy Industry, in its acquisition of the controlling stake in ShenZhen RoadRover Technology</w:t>
      </w:r>
    </w:p>
    <w:p w14:paraId="720B1EEB" w14:textId="77777777" w:rsidR="00E74829" w:rsidRDefault="00E74829" w:rsidP="00E7482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Advised China National Chemical Corporation as PRC counsel on its tender offer for Syngenta</w:t>
      </w:r>
      <w:r w:rsidRPr="00E74829">
        <w:rPr>
          <w:rFonts w:ascii="等线" w:eastAsia="等线" w:hAnsi="Times New Roman"/>
          <w:color w:val="000000"/>
        </w:rPr>
        <w:t>’</w:t>
      </w:r>
      <w:r w:rsidRPr="00E74829">
        <w:rPr>
          <w:rFonts w:ascii="等线" w:eastAsia="等线" w:hAnsi="Times New Roman"/>
          <w:color w:val="000000"/>
        </w:rPr>
        <w:t>s 100% outstanding shares at the price of USD 465 per share, with an aggregate valuation over USD 43 billion</w:t>
      </w:r>
    </w:p>
    <w:p w14:paraId="15A09E83" w14:textId="77777777" w:rsidR="00E74829" w:rsidRDefault="00E74829" w:rsidP="00E7482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Represented Kingsoft Cloud in its strategic acquisition of a controlling interest in Camelot, a China-based IT service and solution provider</w:t>
      </w:r>
    </w:p>
    <w:p w14:paraId="0E2575AD" w14:textId="77777777" w:rsidR="00E74829" w:rsidRDefault="00E74829" w:rsidP="00E7482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Represented MBK Partners in its acquisition and privatization of CAR Inc. (HK Stock Code: 00699), the largest car rental company in China</w:t>
      </w:r>
    </w:p>
    <w:p w14:paraId="2AA88EB8" w14:textId="77777777" w:rsidR="00E74829" w:rsidRDefault="00E74829" w:rsidP="00E7482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Advised the investor group consisting of ANTA, FountainVest and others in their proposed acquisition of Amer Sports Corporation, a sporting goods company with internationally recognized brands</w:t>
      </w:r>
    </w:p>
    <w:p w14:paraId="722EF88D" w14:textId="77777777" w:rsidR="00E74829" w:rsidRDefault="00E74829" w:rsidP="00E7482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Acted for HP in its RMB 18.85 billion sale of 51% of the total share capital of H3C Technologies Co., Ltd. to Unisplendour Corporation Limited, a company listed on the Shenzhen Stock Exchange</w:t>
      </w:r>
    </w:p>
    <w:p w14:paraId="7E3C036E" w14:textId="77777777" w:rsidR="00E74829" w:rsidRDefault="00E74829" w:rsidP="00E7482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Represented the investor consortium led by MBK Partners in its privatization of eHi Car Services Limited, a leading car rental and car services company in China</w:t>
      </w:r>
    </w:p>
    <w:p w14:paraId="7CA48AA6" w14:textId="77777777" w:rsidR="00E74829" w:rsidRDefault="00E74829" w:rsidP="00E7482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Represented BeiGene in Amgen Inc. in its USD 2.7 billion strategic investment in BeiGene</w:t>
      </w:r>
    </w:p>
    <w:p w14:paraId="43AA1084" w14:textId="77777777" w:rsidR="00E74829" w:rsidRDefault="00E74829" w:rsidP="00E7482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Represented TPV Technology Limited, a world-renowned leader in smart display manufacturing, in Nanjing Huadong Electronic Information &amp; Technology</w:t>
      </w:r>
      <w:r w:rsidRPr="00E74829">
        <w:rPr>
          <w:rFonts w:ascii="等线" w:eastAsia="等线" w:hAnsi="Times New Roman"/>
          <w:color w:val="000000"/>
        </w:rPr>
        <w:t>’</w:t>
      </w:r>
      <w:r w:rsidRPr="00E74829">
        <w:rPr>
          <w:rFonts w:ascii="等线" w:eastAsia="等线" w:hAnsi="Times New Roman"/>
          <w:color w:val="000000"/>
        </w:rPr>
        <w:t>s RMB 13.1 billion acquisition of TPV Technology</w:t>
      </w:r>
    </w:p>
    <w:p w14:paraId="64BCF3CA" w14:textId="77777777" w:rsidR="00E74829" w:rsidRDefault="00E74829" w:rsidP="00E7482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Represented Ant Financial in its RMB 3.3 billion acquisition of Hundsun Technologies Inc.</w:t>
      </w:r>
    </w:p>
    <w:p w14:paraId="6D718563" w14:textId="77777777" w:rsidR="00E74829" w:rsidRDefault="00E74829" w:rsidP="00E7482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Represented BeiGene in Celgene</w:t>
      </w:r>
      <w:r w:rsidRPr="00E74829">
        <w:rPr>
          <w:rFonts w:ascii="等线" w:eastAsia="等线" w:hAnsi="Times New Roman"/>
          <w:color w:val="000000"/>
        </w:rPr>
        <w:t>’</w:t>
      </w:r>
      <w:r w:rsidRPr="00E74829">
        <w:rPr>
          <w:rFonts w:ascii="等线" w:eastAsia="等线" w:hAnsi="Times New Roman"/>
          <w:color w:val="000000"/>
        </w:rPr>
        <w:t>s strategic investment in BeiGene</w:t>
      </w:r>
    </w:p>
    <w:p w14:paraId="23BCDB13" w14:textId="77777777" w:rsidR="00E74829" w:rsidRDefault="00E74829" w:rsidP="00E7482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Represented China Music Corporation Music in its strategic merger with Tencent Music</w:t>
      </w:r>
    </w:p>
    <w:p w14:paraId="0D16B4A3" w14:textId="77777777" w:rsidR="00E74829" w:rsidRDefault="00E74829" w:rsidP="00E74829">
      <w:pPr>
        <w:pStyle w:val="af5"/>
        <w:spacing w:before="12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Private equity and venture capital investment</w:t>
      </w:r>
    </w:p>
    <w:p w14:paraId="048D592A" w14:textId="77777777" w:rsidR="00E74829" w:rsidRDefault="00E74829" w:rsidP="00E7482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Represented China Reform Holdings Corporation Ltd. in its strategic investment in China Orient Asset Management Co., Ltd.</w:t>
      </w:r>
    </w:p>
    <w:p w14:paraId="1AD89BD0" w14:textId="77777777" w:rsidR="00E74829" w:rsidRDefault="00E74829" w:rsidP="00E7482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Represented Alibaba and Aspex Master Fund in the pre-IPO investments of Xpeng, one of China</w:t>
      </w:r>
      <w:r w:rsidRPr="00E74829">
        <w:rPr>
          <w:rFonts w:ascii="等线" w:eastAsia="等线" w:hAnsi="Times New Roman"/>
          <w:color w:val="000000"/>
        </w:rPr>
        <w:t>’</w:t>
      </w:r>
      <w:r w:rsidRPr="00E74829">
        <w:rPr>
          <w:rFonts w:ascii="等线" w:eastAsia="等线" w:hAnsi="Times New Roman"/>
          <w:color w:val="000000"/>
        </w:rPr>
        <w:t>s leading smart electric vehicle companies</w:t>
      </w:r>
    </w:p>
    <w:p w14:paraId="47E07DF0" w14:textId="77777777" w:rsidR="00E74829" w:rsidRDefault="00E74829" w:rsidP="00E7482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Represented Primavera Capital and Ant Financial Services in their announced investment of USD 460 million in Yum! China Holdings Inc.</w:t>
      </w:r>
    </w:p>
    <w:p w14:paraId="25B9049A" w14:textId="77777777" w:rsidR="00E74829" w:rsidRDefault="00E74829" w:rsidP="00E7482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Represented Delta Airlines in its HKD 3.48 billion subscription of 465,910,000 H shares issued by China Eastern Airlines Corporation</w:t>
      </w:r>
    </w:p>
    <w:p w14:paraId="5A2F1546" w14:textId="77777777" w:rsidR="00E74829" w:rsidRDefault="00E74829" w:rsidP="00E7482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Represented Goldman Sachs in its strategic investment in China Huarong Asset Management Co., Ltd.</w:t>
      </w:r>
    </w:p>
    <w:p w14:paraId="61476848" w14:textId="77777777" w:rsidR="00E74829" w:rsidRDefault="00E74829" w:rsidP="00E7482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Represented UBS AG in its pre-IPO investment in China Cinda Asset Management Co., Ltd.</w:t>
      </w:r>
    </w:p>
    <w:p w14:paraId="77B2A822" w14:textId="77777777" w:rsidR="00E74829" w:rsidRDefault="00E74829" w:rsidP="00E7482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Represented Goldman Sachs in its strategic acquisition of 12.02% equity of Taikang Insurance Group</w:t>
      </w:r>
    </w:p>
    <w:p w14:paraId="6EF8D2D7" w14:textId="77777777" w:rsidR="00E74829" w:rsidRDefault="00E74829" w:rsidP="00E7482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Represented a number of private equity firms active in China, including PAG, Hillhouse, TPG, DST, Primavera Capital, MBK, and CDH Investments, in participating in investment and financing transactions in Greater China</w:t>
      </w:r>
    </w:p>
    <w:p w14:paraId="26E95CAA" w14:textId="77777777" w:rsidR="00E74829" w:rsidRDefault="00E74829" w:rsidP="00E74829">
      <w:pPr>
        <w:pStyle w:val="af5"/>
        <w:spacing w:before="12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Onshore and offshore issuance</w:t>
      </w:r>
    </w:p>
    <w:p w14:paraId="65D781FC" w14:textId="77777777" w:rsidR="00E74829" w:rsidRDefault="00E74829" w:rsidP="00E7482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Advised nearly 30 companies in listing on the Hong Kong Stock Exchange, including Alibaba Group (stock code: 9988), BeiGene (stock code: 6160), Xpeng (stock code: 9868), New Horizon Health (stock code: 6606), SITC (stock code: 1697), China Development Bank Financial Leasing Co., Ltd., (stock code: 1606), CIIC (stock code: 6819), Hanhua Finance (stock code: 3903), Zoomlion (stock code: 1157), Huahong Group (stock code: 1347), HKBN (stock code: 1310), Linekong Interactive Group (stock code: 8267), Kingsoft (stock code: 3888), Shimao Group (stock code: 0813), PRADA Group (stock code: 1913), Samsonite (stock code: 1910), Hsin Chong Group (stock code: 0404), Fast Retailing (stock code: 6288), and O-Net (stock code: 0877)</w:t>
      </w:r>
    </w:p>
    <w:p w14:paraId="4D17D4B6" w14:textId="77777777" w:rsidR="00E74829" w:rsidRDefault="00E74829" w:rsidP="00E7482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Advised nearly 40 companies in listing on NYSE/NASDAQ, including Alibaba Group (stock code: BABA), Xpeng (stock code: XPEV), Kingsoft Cloud Holdings Ltd (stock code: KC), BeiGene (stock code: BGNE), Zepp Health (stock code: ZEPP), Rise Education (stock code: REDU), iClick Interactive (stock code: ICLK), GDS (stock code: GDS), Xunlei Limited (stock code: XNET), AutoNavi Holdings (stock code: AMAP), Jumei International (stock code: JMEI), Tuniu (stock code: TOUR), Autohome Inc. (stock code: ATHM), JOYY (stock code: YY), Beyond Spring (stock code: BYSI), Focus Media (stock code: FMCN), Vipshop (stock code: VIPS), Sofang (stock code: SFUN), Mingyang Smart Energy (stock code: MY), Pactera EDGE (stock code: PACT), and Yingli Group (stock code: YGE)</w:t>
      </w:r>
    </w:p>
    <w:p w14:paraId="493F0A12" w14:textId="77777777" w:rsidR="00E74829" w:rsidRDefault="00E74829" w:rsidP="00E7482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Advised leading companies in listing A Shares or in refinancing transactions, including: BeiGene (stock code: 688235.SH); Bank of Chongqing (stock code: 601963.SH); Megvii; InnoCare Pharma Limited; COWealth Medical (stock code: 603122.SH); PICC; COSCO Shipping; GAC Group; Baoshan Iron &amp; Steel Co., Ltd.; Yunnan Yuntianhua Co., Ltd. (stock code: 600096.SH); ZTT (stock code: 600522.SH); Zoomlion (stock code: 000157.SZ); Focus Media (stock code: 002027.SZ); Shiji Group (stock code: 002153.SZ); and Huayi Brothers Media Group (stock code: 300027.SZ).</w:t>
      </w:r>
    </w:p>
    <w:p w14:paraId="501F3815" w14:textId="77777777" w:rsidR="00E74829" w:rsidRDefault="00E74829" w:rsidP="00E7482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74829">
        <w:rPr>
          <w:rFonts w:ascii="等线" w:eastAsia="等线" w:hAnsi="等线"/>
          <w:b/>
          <w:sz w:val="24"/>
        </w:rPr>
        <w:t>Education</w:t>
      </w:r>
    </w:p>
    <w:p w14:paraId="1A75414E" w14:textId="77777777" w:rsidR="00E74829" w:rsidRDefault="00E74829" w:rsidP="00E7482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Peking University School of Law, LL.B</w:t>
      </w:r>
    </w:p>
    <w:p w14:paraId="33BFE554" w14:textId="77777777" w:rsidR="00E74829" w:rsidRDefault="00E74829" w:rsidP="00E7482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74829">
        <w:rPr>
          <w:rFonts w:ascii="等线" w:eastAsia="等线" w:hAnsi="等线"/>
          <w:b/>
          <w:sz w:val="24"/>
        </w:rPr>
        <w:t>Professional Qualification</w:t>
      </w:r>
    </w:p>
    <w:p w14:paraId="5937E8AF" w14:textId="77777777" w:rsidR="00E74829" w:rsidRDefault="00E74829" w:rsidP="00E7482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Admitted to practice in the PRC</w:t>
      </w:r>
    </w:p>
    <w:p w14:paraId="10E06EC7" w14:textId="77777777" w:rsidR="00E74829" w:rsidRDefault="00E74829" w:rsidP="00E7482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Registered Foreign Lawyer in Hong Kong SAR</w:t>
      </w:r>
    </w:p>
    <w:p w14:paraId="60E118ED" w14:textId="77777777" w:rsidR="00E74829" w:rsidRDefault="00E74829" w:rsidP="00E7482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74829">
        <w:rPr>
          <w:rFonts w:ascii="等线" w:eastAsia="等线" w:hAnsi="等线"/>
          <w:b/>
          <w:sz w:val="24"/>
        </w:rPr>
        <w:t>Professional Background</w:t>
      </w:r>
    </w:p>
    <w:p w14:paraId="5567FC3C" w14:textId="509FCE63" w:rsidR="00686369" w:rsidRPr="00E74829" w:rsidRDefault="00E74829" w:rsidP="00E74829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4829">
        <w:rPr>
          <w:rFonts w:ascii="等线" w:eastAsia="等线" w:hAnsi="Times New Roman"/>
          <w:color w:val="000000"/>
        </w:rPr>
        <w:t>Before joining Fangda Partners, Mr. Ding worked as legal counsel for a Fortune 500 company. He has been named a leading lawyer by Chambers and Partners, International Financial Law Review, China Law and Practice and other professional journals in the areas of Corporate/M&amp;A and Capital Markets every year since 2007.</w:t>
      </w:r>
    </w:p>
    <w:sectPr w:rsidR="00686369" w:rsidRPr="00E7482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708C5"/>
    <w:multiLevelType w:val="singleLevel"/>
    <w:tmpl w:val="2B248E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0046C4"/>
    <w:multiLevelType w:val="singleLevel"/>
    <w:tmpl w:val="C4B878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EF641E"/>
    <w:multiLevelType w:val="singleLevel"/>
    <w:tmpl w:val="47120B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C1453F"/>
    <w:multiLevelType w:val="singleLevel"/>
    <w:tmpl w:val="FAF427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26206B"/>
    <w:multiLevelType w:val="singleLevel"/>
    <w:tmpl w:val="1CCABA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533D7C"/>
    <w:multiLevelType w:val="singleLevel"/>
    <w:tmpl w:val="20025C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1D73F4"/>
    <w:multiLevelType w:val="singleLevel"/>
    <w:tmpl w:val="6442D2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AD46533"/>
    <w:multiLevelType w:val="singleLevel"/>
    <w:tmpl w:val="91643F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B8860DB"/>
    <w:multiLevelType w:val="singleLevel"/>
    <w:tmpl w:val="B23E63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FB352C2"/>
    <w:multiLevelType w:val="singleLevel"/>
    <w:tmpl w:val="DA9E88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9CF7C25"/>
    <w:multiLevelType w:val="singleLevel"/>
    <w:tmpl w:val="151877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2D35E8C"/>
    <w:multiLevelType w:val="singleLevel"/>
    <w:tmpl w:val="579A11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7DC18B8"/>
    <w:multiLevelType w:val="singleLevel"/>
    <w:tmpl w:val="4E6ACA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C0C25D5"/>
    <w:multiLevelType w:val="singleLevel"/>
    <w:tmpl w:val="3B7A12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18E6124"/>
    <w:multiLevelType w:val="singleLevel"/>
    <w:tmpl w:val="8B6082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36C01B0"/>
    <w:multiLevelType w:val="singleLevel"/>
    <w:tmpl w:val="BFF6DB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47C3873"/>
    <w:multiLevelType w:val="singleLevel"/>
    <w:tmpl w:val="C82CBF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4A142BE"/>
    <w:multiLevelType w:val="singleLevel"/>
    <w:tmpl w:val="3B7A12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6F462FF"/>
    <w:multiLevelType w:val="singleLevel"/>
    <w:tmpl w:val="50E256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83C16CC"/>
    <w:multiLevelType w:val="singleLevel"/>
    <w:tmpl w:val="27CE6A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A8C58AA"/>
    <w:multiLevelType w:val="singleLevel"/>
    <w:tmpl w:val="42AACE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1F92F1E"/>
    <w:multiLevelType w:val="singleLevel"/>
    <w:tmpl w:val="B3AE9F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3F95891"/>
    <w:multiLevelType w:val="singleLevel"/>
    <w:tmpl w:val="A21206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6FA22EA"/>
    <w:multiLevelType w:val="singleLevel"/>
    <w:tmpl w:val="AB5C91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7490F5C"/>
    <w:multiLevelType w:val="singleLevel"/>
    <w:tmpl w:val="CD9C68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9423766"/>
    <w:multiLevelType w:val="singleLevel"/>
    <w:tmpl w:val="81CE2D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B400A8D"/>
    <w:multiLevelType w:val="singleLevel"/>
    <w:tmpl w:val="FB9406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E1D628C"/>
    <w:multiLevelType w:val="singleLevel"/>
    <w:tmpl w:val="67523D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2"/>
  </w:num>
  <w:num w:numId="3">
    <w:abstractNumId w:val="26"/>
  </w:num>
  <w:num w:numId="4">
    <w:abstractNumId w:val="21"/>
  </w:num>
  <w:num w:numId="5">
    <w:abstractNumId w:val="16"/>
  </w:num>
  <w:num w:numId="6">
    <w:abstractNumId w:val="29"/>
  </w:num>
  <w:num w:numId="7">
    <w:abstractNumId w:val="27"/>
  </w:num>
  <w:num w:numId="8">
    <w:abstractNumId w:val="23"/>
  </w:num>
  <w:num w:numId="9">
    <w:abstractNumId w:val="18"/>
  </w:num>
  <w:num w:numId="10">
    <w:abstractNumId w:val="28"/>
  </w:num>
  <w:num w:numId="11">
    <w:abstractNumId w:val="1"/>
  </w:num>
  <w:num w:numId="12">
    <w:abstractNumId w:val="9"/>
  </w:num>
  <w:num w:numId="13">
    <w:abstractNumId w:val="7"/>
  </w:num>
  <w:num w:numId="14">
    <w:abstractNumId w:val="11"/>
  </w:num>
  <w:num w:numId="15">
    <w:abstractNumId w:val="24"/>
  </w:num>
  <w:num w:numId="16">
    <w:abstractNumId w:val="0"/>
  </w:num>
  <w:num w:numId="17">
    <w:abstractNumId w:val="2"/>
  </w:num>
  <w:num w:numId="18">
    <w:abstractNumId w:val="13"/>
  </w:num>
  <w:num w:numId="19">
    <w:abstractNumId w:val="3"/>
  </w:num>
  <w:num w:numId="20">
    <w:abstractNumId w:val="14"/>
  </w:num>
  <w:num w:numId="21">
    <w:abstractNumId w:val="20"/>
  </w:num>
  <w:num w:numId="22">
    <w:abstractNumId w:val="8"/>
  </w:num>
  <w:num w:numId="23">
    <w:abstractNumId w:val="22"/>
  </w:num>
  <w:num w:numId="24">
    <w:abstractNumId w:val="25"/>
  </w:num>
  <w:num w:numId="25">
    <w:abstractNumId w:val="4"/>
  </w:num>
  <w:num w:numId="26">
    <w:abstractNumId w:val="5"/>
  </w:num>
  <w:num w:numId="27">
    <w:abstractNumId w:val="17"/>
  </w:num>
  <w:num w:numId="28">
    <w:abstractNumId w:val="6"/>
  </w:num>
  <w:num w:numId="29">
    <w:abstractNumId w:val="15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4829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7482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7482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AC3FCEB-9CA3-42B0-8B70-9906A190F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847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2026-08-07T20:05:00Z</dcterms:created>
  <dcterms:modified xsi:type="dcterms:W3CDTF">2026-08-07T20:05:00Z</dcterms:modified>
</cp:coreProperties>
</file>