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937F2C4" w:rsidR="0049405C" w:rsidRPr="00C24D79" w:rsidRDefault="00BA3E01" w:rsidP="00BA3E0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A3E01">
              <w:rPr>
                <w:rFonts w:ascii="等线" w:eastAsia="等线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6269236A" w:rsidR="0049405C" w:rsidRPr="00C24D79" w:rsidRDefault="00BA3E01" w:rsidP="00BA3E0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A3E01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BA3E0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A3E0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6808E05" w:rsidR="0049405C" w:rsidRPr="00C24D79" w:rsidRDefault="00BA3E01" w:rsidP="00BA3E0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A3E01">
              <w:rPr>
                <w:rFonts w:ascii="等线" w:eastAsia="等线" w:hAnsi="Times New Roman"/>
                <w:color w:val="000000"/>
              </w:rPr>
              <w:t xml:space="preserve">+852 3976 8846 </w:t>
            </w:r>
            <w:bookmarkEnd w:id="3"/>
          </w:p>
          <w:p w14:paraId="4F910ACA" w14:textId="3CD540F7" w:rsidR="0049405C" w:rsidRPr="00C24D79" w:rsidRDefault="00BA3E01" w:rsidP="00BA3E0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A3E01">
              <w:rPr>
                <w:rFonts w:ascii="等线" w:eastAsia="等线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1739C81" w:rsidR="0049405C" w:rsidRPr="00C24D79" w:rsidRDefault="00BA3E0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47C580" wp14:editId="371D381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C2A13FA" w:rsidR="009465FB" w:rsidRPr="00C24D79" w:rsidRDefault="00BA3E0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A3E01">
              <w:rPr>
                <w:rFonts w:ascii="等线" w:eastAsia="等线" w:hAnsi="Times New Roman"/>
                <w:color w:val="000000"/>
                <w:szCs w:val="21"/>
              </w:rPr>
              <w:t>MR. WALLENBERGER SPECIALIZES IN US AND INTERNATIONAL CAPITAL MARKETS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CA526D8" w14:textId="77777777" w:rsidR="00BA3E0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8A5E694" w14:textId="77777777" w:rsidR="00BA3E01" w:rsidRDefault="00BA3E01" w:rsidP="00BA3E0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3E01">
        <w:rPr>
          <w:rFonts w:ascii="等线" w:eastAsia="等线" w:hAnsi="等线"/>
          <w:b/>
          <w:sz w:val="24"/>
        </w:rPr>
        <w:t>REPRESENTATIVE MATTERS AND CASES</w:t>
      </w:r>
    </w:p>
    <w:p w14:paraId="361474DD" w14:textId="77777777" w:rsidR="00BA3E01" w:rsidRDefault="00BA3E01" w:rsidP="00BA3E01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Played a prominent role in delivery of US securities law compliance advice to five NYSE-listed Fortune Global 100 companies</w:t>
      </w:r>
    </w:p>
    <w:p w14:paraId="3545ED6D" w14:textId="77777777" w:rsidR="00BA3E01" w:rsidRDefault="00BA3E01" w:rsidP="00BA3E0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HSBC Holdings plc (2010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2011)</w:t>
      </w:r>
    </w:p>
    <w:p w14:paraId="42DF2020" w14:textId="77777777" w:rsidR="00BA3E01" w:rsidRDefault="00BA3E01" w:rsidP="00BA3E0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Siemens AG (2005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2009)</w:t>
      </w:r>
    </w:p>
    <w:p w14:paraId="13344E9E" w14:textId="77777777" w:rsidR="00BA3E01" w:rsidRDefault="00BA3E01" w:rsidP="00BA3E0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Petroleo Brasileiro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PETROBRAS (2002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2003)</w:t>
      </w:r>
    </w:p>
    <w:p w14:paraId="4F4F650C" w14:textId="77777777" w:rsidR="00BA3E01" w:rsidRDefault="00BA3E01" w:rsidP="00BA3E0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Nortel Networks Inc. (2002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2003)</w:t>
      </w:r>
    </w:p>
    <w:p w14:paraId="26ED44B9" w14:textId="77777777" w:rsidR="00BA3E01" w:rsidRDefault="00BA3E01" w:rsidP="00BA3E0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Deutsche Telekom AG (1998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2002, 2004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2005)</w:t>
      </w:r>
    </w:p>
    <w:p w14:paraId="4D0D1EE0" w14:textId="77777777" w:rsidR="00BA3E01" w:rsidRDefault="00BA3E01" w:rsidP="00BA3E01">
      <w:pPr>
        <w:pStyle w:val="af5"/>
        <w:spacing w:before="12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Played a prominent role in execution of over US$50 billion in completed cross-border financial transactions</w:t>
      </w:r>
    </w:p>
    <w:p w14:paraId="7DD602A1" w14:textId="77777777" w:rsidR="00BA3E01" w:rsidRDefault="00BA3E01" w:rsidP="00BA3E0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A total of over US$3 billion in debt tender offers by the Republic of the Philippines, with various investment banks including Citigroup, Deutsche Bank, Goldman Sachs, HSBC, JP Morgan, Standard Chartered and UBS as dealer-managers (2012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2014)</w:t>
      </w:r>
    </w:p>
    <w:p w14:paraId="46C6FEC0" w14:textId="77777777" w:rsidR="00BA3E01" w:rsidRDefault="00BA3E01" w:rsidP="00BA3E0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The US$2.5 billion SEC-registered debt offering of HSBC Holdings plc, underwritten by HSBC Securities Inc. (2011)</w:t>
      </w:r>
    </w:p>
    <w:p w14:paraId="22559BA7" w14:textId="77777777" w:rsidR="00BA3E01" w:rsidRDefault="00BA3E01" w:rsidP="00BA3E0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A total of over US$6 billion in Rule 144A debt offerings by HSBC Bank plc, underwritten by HSBC Securities Inc. (2011)</w:t>
      </w:r>
    </w:p>
    <w:p w14:paraId="78EED9DF" w14:textId="77777777" w:rsidR="00BA3E01" w:rsidRDefault="00BA3E01" w:rsidP="00BA3E0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The US$2.2 billion Hong Kong Stock Exchange listing and Reg. S / Rule 144A equity IPO of UC RUSAL, sponsored by BNP Paribas and Credit Suisse (2010)</w:t>
      </w:r>
    </w:p>
    <w:p w14:paraId="3E0A90D1" w14:textId="77777777" w:rsidR="00BA3E01" w:rsidRDefault="00BA3E01" w:rsidP="00BA3E0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A total of over US$5 billion in debt tender offers by The Governor and Company of the Bank of Ireland, with Credit Suisse, Deutsche Bank and UBS as dealer-managers (2009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2011)</w:t>
      </w:r>
    </w:p>
    <w:p w14:paraId="44749859" w14:textId="77777777" w:rsidR="00BA3E01" w:rsidRDefault="00BA3E01" w:rsidP="00BA3E0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The EUR.3 billion Vienna Stock Exchange listing and Reg. S / Rule 144A equity IPO of STRABAG SE, underwritten by Deutsche Bank and Goldman Sachs (2007)</w:t>
      </w:r>
    </w:p>
    <w:p w14:paraId="2030499A" w14:textId="77777777" w:rsidR="00BA3E01" w:rsidRDefault="00BA3E01" w:rsidP="00BA3E0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The US$5 billion Rule 144A debt offering of Siemens AG, underwritten by Deutsche Bank and JP Morgan (2006)</w:t>
      </w:r>
    </w:p>
    <w:p w14:paraId="77D73358" w14:textId="77777777" w:rsidR="00BA3E01" w:rsidRDefault="00BA3E01" w:rsidP="00BA3E0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The US$1.2 billion Oslo Stock Exchange listing and Reg. S / Rule 144A equity IPO of Renewable Energy Corporation, underwritten by UBS and Credit Suisse (2006)</w:t>
      </w:r>
    </w:p>
    <w:p w14:paraId="1E9B3C12" w14:textId="77777777" w:rsidR="00BA3E01" w:rsidRDefault="00BA3E01" w:rsidP="00BA3E0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A total of over US$8 billion in SEC-registered debt offerings by Vodafone plc, underwritten by various investment banks including Barclays Capital, Citigroup, JP Morgan and Morgan Stanley (2005 </w:t>
      </w:r>
      <w:r w:rsidRPr="00BA3E01">
        <w:rPr>
          <w:rFonts w:ascii="等线" w:eastAsia="等线" w:hAnsi="Times New Roman"/>
          <w:color w:val="000000"/>
        </w:rPr>
        <w:t>–</w:t>
      </w:r>
      <w:r w:rsidRPr="00BA3E01">
        <w:rPr>
          <w:rFonts w:ascii="等线" w:eastAsia="等线" w:hAnsi="Times New Roman"/>
          <w:color w:val="000000"/>
        </w:rPr>
        <w:t xml:space="preserve"> 2011)</w:t>
      </w:r>
    </w:p>
    <w:p w14:paraId="6459C30A" w14:textId="77777777" w:rsidR="00BA3E01" w:rsidRDefault="00BA3E01" w:rsidP="00BA3E0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The US$4 billion SEC-registered exchange offer by Deutsche Telekom for publicly held shares of T-Online (2005)</w:t>
      </w:r>
    </w:p>
    <w:p w14:paraId="60C8D8FB" w14:textId="77777777" w:rsidR="00BA3E01" w:rsidRDefault="00BA3E01" w:rsidP="00BA3E0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The </w:t>
      </w:r>
      <w:r w:rsidRPr="00BA3E01">
        <w:rPr>
          <w:rFonts w:ascii="等线" w:eastAsia="等线" w:hAnsi="Times New Roman"/>
          <w:color w:val="000000"/>
        </w:rPr>
        <w:t>€</w:t>
      </w:r>
      <w:r w:rsidRPr="00BA3E01">
        <w:rPr>
          <w:rFonts w:ascii="等线" w:eastAsia="等线" w:hAnsi="Times New Roman"/>
          <w:color w:val="000000"/>
        </w:rPr>
        <w:t>11 billion SEC-registered secondary follow-on offering of Deutsche Telekom shares by the German Government, underwritten by Deutsche Bank and Goldman Sachs (2000)</w:t>
      </w:r>
    </w:p>
    <w:p w14:paraId="777C2B3B" w14:textId="77777777" w:rsidR="00BA3E01" w:rsidRDefault="00BA3E01" w:rsidP="00BA3E0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The </w:t>
      </w:r>
      <w:r w:rsidRPr="00BA3E01">
        <w:rPr>
          <w:rFonts w:ascii="等线" w:eastAsia="等线" w:hAnsi="Times New Roman"/>
          <w:color w:val="000000"/>
        </w:rPr>
        <w:t>€</w:t>
      </w:r>
      <w:r w:rsidRPr="00BA3E01">
        <w:rPr>
          <w:rFonts w:ascii="等线" w:eastAsia="等线" w:hAnsi="Times New Roman"/>
          <w:color w:val="000000"/>
        </w:rPr>
        <w:t>11 billion SEC-registered primary follow-on equity offering of Deutsche Telekom AG, underwritten by Deutsche Bank and Goldman Sachs (1999)</w:t>
      </w:r>
    </w:p>
    <w:p w14:paraId="17DEEC25" w14:textId="77777777" w:rsidR="00BA3E01" w:rsidRDefault="00BA3E01" w:rsidP="00BA3E0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3E01">
        <w:rPr>
          <w:rFonts w:ascii="等线" w:eastAsia="等线" w:hAnsi="等线"/>
          <w:b/>
          <w:sz w:val="24"/>
        </w:rPr>
        <w:t>Education</w:t>
      </w:r>
    </w:p>
    <w:p w14:paraId="41B7B34E" w14:textId="77777777" w:rsidR="00BA3E01" w:rsidRDefault="00BA3E01" w:rsidP="00BA3E0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Boston University School of Law, J.D. magna cum laude, 1996</w:t>
      </w:r>
    </w:p>
    <w:p w14:paraId="1513560C" w14:textId="77777777" w:rsidR="00BA3E01" w:rsidRDefault="00BA3E01" w:rsidP="00BA3E0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Harvard University, B.A. cum laude 1991</w:t>
      </w:r>
    </w:p>
    <w:p w14:paraId="58D0681C" w14:textId="77777777" w:rsidR="00BA3E01" w:rsidRDefault="00BA3E01" w:rsidP="00BA3E0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3E01">
        <w:rPr>
          <w:rFonts w:ascii="等线" w:eastAsia="等线" w:hAnsi="等线"/>
          <w:b/>
          <w:sz w:val="24"/>
        </w:rPr>
        <w:t>Professional Qualification</w:t>
      </w:r>
    </w:p>
    <w:p w14:paraId="5CA9E512" w14:textId="77777777" w:rsidR="00BA3E01" w:rsidRDefault="00BA3E01" w:rsidP="00BA3E0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Admitted to practice in New York</w:t>
      </w:r>
    </w:p>
    <w:p w14:paraId="7AC2640B" w14:textId="77777777" w:rsidR="00BA3E01" w:rsidRDefault="00BA3E01" w:rsidP="00BA3E0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>Registered Foreign Lawyer in Hong Kong SAR</w:t>
      </w:r>
    </w:p>
    <w:p w14:paraId="7849270F" w14:textId="77777777" w:rsidR="00BA3E01" w:rsidRDefault="00BA3E01" w:rsidP="00BA3E0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A3E01">
        <w:rPr>
          <w:rFonts w:ascii="等线" w:eastAsia="等线" w:hAnsi="等线"/>
          <w:b/>
          <w:sz w:val="24"/>
        </w:rPr>
        <w:t>Professional Background</w:t>
      </w:r>
    </w:p>
    <w:p w14:paraId="5567FC3C" w14:textId="3C533C4C" w:rsidR="00686369" w:rsidRPr="00BA3E01" w:rsidRDefault="00BA3E01" w:rsidP="00BA3E0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A3E01">
        <w:rPr>
          <w:rFonts w:ascii="等线" w:eastAsia="等线" w:hAnsi="Times New Roman"/>
          <w:color w:val="000000"/>
        </w:rPr>
        <w:t xml:space="preserve">Mr. Wallenberger joined Fangda Partners in 2020. Before joining the firm, he worked for 18 years in the New York, Frankfurt, London and Hong Kong offices of a major Wall Street law firm and for several years in the Hong Kong office of a US-based </w:t>
      </w:r>
      <w:r w:rsidRPr="00BA3E01">
        <w:rPr>
          <w:rFonts w:ascii="等线" w:eastAsia="等线" w:hAnsi="Times New Roman"/>
          <w:color w:val="000000"/>
        </w:rPr>
        <w:t>“</w:t>
      </w:r>
      <w:r w:rsidRPr="00BA3E01">
        <w:rPr>
          <w:rFonts w:ascii="等线" w:eastAsia="等线" w:hAnsi="Times New Roman"/>
          <w:color w:val="000000"/>
        </w:rPr>
        <w:t>global systemically important bank.</w:t>
      </w:r>
      <w:r w:rsidRPr="00BA3E01">
        <w:rPr>
          <w:rFonts w:ascii="等线" w:eastAsia="等线" w:hAnsi="Times New Roman"/>
          <w:color w:val="000000"/>
        </w:rPr>
        <w:t>”</w:t>
      </w:r>
    </w:p>
    <w:sectPr w:rsidR="00686369" w:rsidRPr="00BA3E0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398"/>
    <w:multiLevelType w:val="singleLevel"/>
    <w:tmpl w:val="4808B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05B12"/>
    <w:multiLevelType w:val="singleLevel"/>
    <w:tmpl w:val="B602E9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934105"/>
    <w:multiLevelType w:val="singleLevel"/>
    <w:tmpl w:val="C0784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6D7CEA"/>
    <w:multiLevelType w:val="singleLevel"/>
    <w:tmpl w:val="21DA1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D02787"/>
    <w:multiLevelType w:val="singleLevel"/>
    <w:tmpl w:val="C0784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C15A30"/>
    <w:multiLevelType w:val="singleLevel"/>
    <w:tmpl w:val="1E866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BC4546"/>
    <w:multiLevelType w:val="singleLevel"/>
    <w:tmpl w:val="1AEAED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7037AA"/>
    <w:multiLevelType w:val="singleLevel"/>
    <w:tmpl w:val="82BA89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72417D"/>
    <w:multiLevelType w:val="singleLevel"/>
    <w:tmpl w:val="3DE6F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FE24EB"/>
    <w:multiLevelType w:val="singleLevel"/>
    <w:tmpl w:val="D4BA7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193D20"/>
    <w:multiLevelType w:val="singleLevel"/>
    <w:tmpl w:val="57AA7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692690"/>
    <w:multiLevelType w:val="singleLevel"/>
    <w:tmpl w:val="23609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F11547A"/>
    <w:multiLevelType w:val="singleLevel"/>
    <w:tmpl w:val="B51EC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F713E87"/>
    <w:multiLevelType w:val="singleLevel"/>
    <w:tmpl w:val="F326C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301143"/>
    <w:multiLevelType w:val="singleLevel"/>
    <w:tmpl w:val="E0407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C744E37"/>
    <w:multiLevelType w:val="singleLevel"/>
    <w:tmpl w:val="9086F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E80431B"/>
    <w:multiLevelType w:val="singleLevel"/>
    <w:tmpl w:val="437A0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87F55EE"/>
    <w:multiLevelType w:val="singleLevel"/>
    <w:tmpl w:val="59183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5257CC9"/>
    <w:multiLevelType w:val="singleLevel"/>
    <w:tmpl w:val="2984F2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6AD59B8"/>
    <w:multiLevelType w:val="singleLevel"/>
    <w:tmpl w:val="C57EF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73D621E"/>
    <w:multiLevelType w:val="singleLevel"/>
    <w:tmpl w:val="B0E84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D0F052D"/>
    <w:multiLevelType w:val="singleLevel"/>
    <w:tmpl w:val="5D0E5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D9B7BAB"/>
    <w:multiLevelType w:val="singleLevel"/>
    <w:tmpl w:val="8A929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20"/>
  </w:num>
  <w:num w:numId="4">
    <w:abstractNumId w:val="3"/>
  </w:num>
  <w:num w:numId="5">
    <w:abstractNumId w:val="10"/>
  </w:num>
  <w:num w:numId="6">
    <w:abstractNumId w:val="7"/>
  </w:num>
  <w:num w:numId="7">
    <w:abstractNumId w:val="13"/>
  </w:num>
  <w:num w:numId="8">
    <w:abstractNumId w:val="15"/>
  </w:num>
  <w:num w:numId="9">
    <w:abstractNumId w:val="24"/>
  </w:num>
  <w:num w:numId="10">
    <w:abstractNumId w:val="0"/>
  </w:num>
  <w:num w:numId="11">
    <w:abstractNumId w:val="21"/>
  </w:num>
  <w:num w:numId="12">
    <w:abstractNumId w:val="5"/>
  </w:num>
  <w:num w:numId="13">
    <w:abstractNumId w:val="14"/>
  </w:num>
  <w:num w:numId="14">
    <w:abstractNumId w:val="11"/>
  </w:num>
  <w:num w:numId="15">
    <w:abstractNumId w:val="23"/>
  </w:num>
  <w:num w:numId="16">
    <w:abstractNumId w:val="22"/>
  </w:num>
  <w:num w:numId="17">
    <w:abstractNumId w:val="18"/>
  </w:num>
  <w:num w:numId="18">
    <w:abstractNumId w:val="8"/>
  </w:num>
  <w:num w:numId="19">
    <w:abstractNumId w:val="9"/>
  </w:num>
  <w:num w:numId="20">
    <w:abstractNumId w:val="6"/>
  </w:num>
  <w:num w:numId="21">
    <w:abstractNumId w:val="1"/>
  </w:num>
  <w:num w:numId="22">
    <w:abstractNumId w:val="19"/>
  </w:num>
  <w:num w:numId="23">
    <w:abstractNumId w:val="17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A3E01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A3E0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A3E0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4E354D-95C8-4F65-9109-ED08D8288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2026-09-17T21:18:00Z</dcterms:created>
  <dcterms:modified xsi:type="dcterms:W3CDTF">2026-09-17T21:18:00Z</dcterms:modified>
</cp:coreProperties>
</file>