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40EDC8" w:rsidR="0049405C" w:rsidRPr="00C24D79" w:rsidRDefault="001248FF" w:rsidP="001248F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248FF">
              <w:rPr>
                <w:rFonts w:ascii="等线" w:eastAsia="等线" w:hAnsi="Times New Roman"/>
                <w:b/>
                <w:color w:val="000000"/>
                <w:sz w:val="48"/>
              </w:rPr>
              <w:t>MILES MA</w:t>
            </w:r>
            <w:bookmarkEnd w:id="0"/>
          </w:p>
          <w:p w14:paraId="706EB16B" w14:textId="33EF1921" w:rsidR="0049405C" w:rsidRPr="00C24D79" w:rsidRDefault="001248FF" w:rsidP="001248F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248F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248F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248FF">
              <w:rPr>
                <w:rFonts w:ascii="等线" w:eastAsia="等线" w:hAnsi="Times New Roman"/>
                <w:b/>
                <w:bCs/>
                <w:color w:val="000000"/>
              </w:rPr>
              <w:t>Shanghai | Nanjing</w:t>
            </w:r>
            <w:bookmarkEnd w:id="2"/>
          </w:p>
          <w:p w14:paraId="6199424A" w14:textId="76A3CA0C" w:rsidR="0049405C" w:rsidRPr="00C24D79" w:rsidRDefault="001248FF" w:rsidP="001248F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248FF">
              <w:rPr>
                <w:rFonts w:ascii="等线" w:eastAsia="等线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048B1E02" w:rsidR="0049405C" w:rsidRPr="00C24D79" w:rsidRDefault="001248FF" w:rsidP="001248F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248FF">
              <w:rPr>
                <w:rFonts w:ascii="等线" w:eastAsia="等线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DA13B62" w:rsidR="0049405C" w:rsidRPr="00C24D79" w:rsidRDefault="001248F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D6FF61F" wp14:editId="348D565F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80AD8B7" w:rsidR="009465FB" w:rsidRPr="00C24D79" w:rsidRDefault="001248F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248FF">
              <w:rPr>
                <w:rFonts w:ascii="等线" w:eastAsia="等线" w:hAnsi="Times New Roman"/>
                <w:color w:val="000000"/>
                <w:szCs w:val="21"/>
              </w:rPr>
              <w:t>MR. MA ADVISES ON M&amp;A, SECURITIES, FINANCIAL SERVICES AND CHINA INVESTMENTS. HE HAS EXPERIENCE IN A VARIETY OF CHINA-RELATED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A53646B" w14:textId="77777777" w:rsidR="001248F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8ACE5F" w14:textId="77777777" w:rsidR="001248FF" w:rsidRDefault="001248FF" w:rsidP="001248F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48FF">
        <w:rPr>
          <w:rFonts w:ascii="等线" w:eastAsia="等线" w:hAnsi="等线"/>
          <w:b/>
          <w:sz w:val="24"/>
        </w:rPr>
        <w:t>REPRESENTATIVE MATTERS AND CASES</w:t>
      </w:r>
    </w:p>
    <w:p w14:paraId="0526E957" w14:textId="77777777" w:rsidR="001248FF" w:rsidRDefault="001248FF" w:rsidP="001248F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EE5FBA8" w14:textId="77777777" w:rsidR="001248FF" w:rsidRDefault="001248FF" w:rsidP="001248F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Anheuser Busch InBev on acquiring various breweries in China, including Blue Girl Beer, Asia Brewery</w:t>
      </w:r>
      <w:r w:rsidRPr="001248FF">
        <w:rPr>
          <w:rFonts w:ascii="等线" w:eastAsia="等线" w:hAnsi="Times New Roman"/>
          <w:color w:val="000000"/>
        </w:rPr>
        <w:t>’</w:t>
      </w:r>
      <w:r w:rsidRPr="001248FF">
        <w:rPr>
          <w:rFonts w:ascii="等线" w:eastAsia="等线" w:hAnsi="Times New Roman"/>
          <w:color w:val="000000"/>
        </w:rPr>
        <w:t>s breweries in Nanchang and Luoyang, and Harbin Brewery (Mudanjiang Jingpo) Co., Ltd., and on subscribing the A shares of Pearl River Beer</w:t>
      </w:r>
    </w:p>
    <w:p w14:paraId="1AE0A1C4" w14:textId="77777777" w:rsidR="001248FF" w:rsidRDefault="001248FF" w:rsidP="001248F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Budweiser APAC on its IPO and listing on the HKEX</w:t>
      </w:r>
    </w:p>
    <w:p w14:paraId="0BC446EB" w14:textId="77777777" w:rsidR="001248FF" w:rsidRDefault="001248FF" w:rsidP="001248F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Ant Finance on its investment in CFPA Microfinance Management Co., Ltd.</w:t>
      </w:r>
    </w:p>
    <w:p w14:paraId="7CBDB4BA" w14:textId="77777777" w:rsidR="001248FF" w:rsidRDefault="001248FF" w:rsidP="001248F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AkzoNobel on the PRC matters related to its spin-off of its specialty chemicals business</w:t>
      </w:r>
    </w:p>
    <w:p w14:paraId="4AD8C59B" w14:textId="77777777" w:rsidR="001248FF" w:rsidRDefault="001248FF" w:rsidP="001248F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Alibaba on its investment in Beijing Easyhome Investment Holdings Group Co., Ltd.</w:t>
      </w:r>
    </w:p>
    <w:p w14:paraId="4EB18D54" w14:textId="77777777" w:rsidR="001248FF" w:rsidRDefault="001248FF" w:rsidP="001248F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Allianz AG on its health insurance joint venture with China Pacific Insurance Group</w:t>
      </w:r>
    </w:p>
    <w:p w14:paraId="4AD0706B" w14:textId="77777777" w:rsidR="001248FF" w:rsidRDefault="001248FF" w:rsidP="001248F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Blackstone on its acquisition of Shya Hsin's cosmetics packaging business</w:t>
      </w:r>
    </w:p>
    <w:p w14:paraId="0A9934B1" w14:textId="77777777" w:rsidR="001248FF" w:rsidRDefault="001248FF" w:rsidP="001248F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Blackstone on its acquisition of a controlling stake in an India-based listed company, which owned various PRC entities engaging in the packing business</w:t>
      </w:r>
    </w:p>
    <w:p w14:paraId="5CFFC974" w14:textId="77777777" w:rsidR="001248FF" w:rsidRDefault="001248FF" w:rsidP="001248F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BNP Paribas on its acquisition of a 19.2% stake in Bank of Nanjing</w:t>
      </w:r>
    </w:p>
    <w:p w14:paraId="45CFB12C" w14:textId="77777777" w:rsidR="001248FF" w:rsidRDefault="001248FF" w:rsidP="001248F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Clearlake Capital on its acquisition of Unifrax, which owned the controlling stake of Luyang Energy-saving Materials Co., Ltd. (002088.SZ)</w:t>
      </w:r>
    </w:p>
    <w:p w14:paraId="30440EC7" w14:textId="77777777" w:rsidR="001248FF" w:rsidRDefault="001248FF" w:rsidP="001248F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Deutsche Bank AG on its establishment of the Sino-foreign securities joint venture Zhongde Securities Co., Ltd. with Shanxi Securities Co., Ltd.</w:t>
      </w:r>
    </w:p>
    <w:p w14:paraId="24F79C00" w14:textId="77777777" w:rsidR="001248FF" w:rsidRDefault="001248FF" w:rsidP="001248F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Deutsche Bank AG on its subscription of RMB 3.9 billion (approximately US$554 million) of A-shares in Shanghai-listed Huaxia Bank Co., Ltd. through a private placement</w:t>
      </w:r>
    </w:p>
    <w:p w14:paraId="71584409" w14:textId="77777777" w:rsidR="001248FF" w:rsidRDefault="001248FF" w:rsidP="001248F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Farfetch on its acquisition of Curiosity Group</w:t>
      </w:r>
    </w:p>
    <w:p w14:paraId="2D7605DC" w14:textId="77777777" w:rsidR="001248FF" w:rsidRDefault="001248FF" w:rsidP="001248F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Four Rivers on acquiring the controlling stake of Chongqing Iron &amp; Steel (Group) Co. Ltd (601005.SH/01053.HK) through a judicial reorganization</w:t>
      </w:r>
    </w:p>
    <w:p w14:paraId="4CDF2B3E" w14:textId="77777777" w:rsidR="001248FF" w:rsidRDefault="001248FF" w:rsidP="001248F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Honeywell on its spin-off of its transportation and homes businesses through a series of transactions, including two demergers of its China investment holding company</w:t>
      </w:r>
    </w:p>
    <w:p w14:paraId="088F7C3A" w14:textId="77777777" w:rsidR="001248FF" w:rsidRDefault="001248FF" w:rsidP="001248F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Limited Brands (Victoria Secret) on its acquisition of the distribution business of its distributor for the Chinese market</w:t>
      </w:r>
    </w:p>
    <w:p w14:paraId="0D68AD35" w14:textId="77777777" w:rsidR="001248FF" w:rsidRDefault="001248FF" w:rsidP="001248F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Mitsui &amp; Co., Ltd. on its acquisition of a 25% equity interest in a PRC company limited by shares engaging in coal mining, power generation, real property development and metallurgy</w:t>
      </w:r>
    </w:p>
    <w:p w14:paraId="147C8108" w14:textId="77777777" w:rsidR="001248FF" w:rsidRDefault="001248FF" w:rsidP="001248F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Oaktree on its disposal of Axilone Group</w:t>
      </w:r>
      <w:r w:rsidRPr="001248FF">
        <w:rPr>
          <w:rFonts w:ascii="等线" w:eastAsia="等线" w:hAnsi="Times New Roman"/>
          <w:color w:val="000000"/>
        </w:rPr>
        <w:t>’</w:t>
      </w:r>
      <w:r w:rsidRPr="001248FF">
        <w:rPr>
          <w:rFonts w:ascii="等线" w:eastAsia="等线" w:hAnsi="Times New Roman"/>
          <w:color w:val="000000"/>
        </w:rPr>
        <w:t>s global cosmetics packaging business in an auction sale</w:t>
      </w:r>
    </w:p>
    <w:p w14:paraId="22222FF1" w14:textId="77777777" w:rsidR="001248FF" w:rsidRDefault="001248FF" w:rsidP="001248F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Oversea-Chinese Bank Corporation Limited on its establishment of South China Trust Co., Ltd., a Sino-foreign trust joint venture, with Aviation Industry Corporation of China and others</w:t>
      </w:r>
    </w:p>
    <w:p w14:paraId="4A474711" w14:textId="77777777" w:rsidR="001248FF" w:rsidRDefault="001248FF" w:rsidP="001248F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Partners Group on its acquisition of a majority stake of BCR Group</w:t>
      </w:r>
    </w:p>
    <w:p w14:paraId="06763952" w14:textId="77777777" w:rsidR="001248FF" w:rsidRDefault="001248FF" w:rsidP="001248F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Spirit AeroSystems on forming two aviation joint ventures in Zhejiang</w:t>
      </w:r>
    </w:p>
    <w:p w14:paraId="56D0EE37" w14:textId="77777777" w:rsidR="001248FF" w:rsidRDefault="001248FF" w:rsidP="001248F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Textron Inc. on its disposal of TT&amp;T business unit in China</w:t>
      </w:r>
    </w:p>
    <w:p w14:paraId="766F8C41" w14:textId="77777777" w:rsidR="001248FF" w:rsidRDefault="001248FF" w:rsidP="001248F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Advised Vopak on its LNG joint venture in Jiangsu</w:t>
      </w:r>
    </w:p>
    <w:p w14:paraId="5713948B" w14:textId="77777777" w:rsidR="001248FF" w:rsidRDefault="001248FF" w:rsidP="001248F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48FF">
        <w:rPr>
          <w:rFonts w:ascii="等线" w:eastAsia="等线" w:hAnsi="等线"/>
          <w:b/>
          <w:sz w:val="24"/>
        </w:rPr>
        <w:t>Education</w:t>
      </w:r>
    </w:p>
    <w:p w14:paraId="799C8EA0" w14:textId="77777777" w:rsidR="001248FF" w:rsidRDefault="001248FF" w:rsidP="001248F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East China University of Political Science and Law, LL.B</w:t>
      </w:r>
    </w:p>
    <w:p w14:paraId="73B233B2" w14:textId="77777777" w:rsidR="001248FF" w:rsidRDefault="001248FF" w:rsidP="001248F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Columbia Law School, LL.M (Harlan Fiske Stone Scholar)</w:t>
      </w:r>
    </w:p>
    <w:p w14:paraId="61A8E239" w14:textId="77777777" w:rsidR="001248FF" w:rsidRDefault="001248FF" w:rsidP="001248F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48FF">
        <w:rPr>
          <w:rFonts w:ascii="等线" w:eastAsia="等线" w:hAnsi="等线"/>
          <w:b/>
          <w:sz w:val="24"/>
        </w:rPr>
        <w:t>Professional Qualification</w:t>
      </w:r>
    </w:p>
    <w:p w14:paraId="530FEAA8" w14:textId="77777777" w:rsidR="001248FF" w:rsidRDefault="001248FF" w:rsidP="001248F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Admitted to practice in the PRC</w:t>
      </w:r>
    </w:p>
    <w:p w14:paraId="5B5848F7" w14:textId="77777777" w:rsidR="001248FF" w:rsidRDefault="001248FF" w:rsidP="001248F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Admitted to practice in New York</w:t>
      </w:r>
    </w:p>
    <w:p w14:paraId="1643DBC2" w14:textId="77777777" w:rsidR="001248FF" w:rsidRDefault="001248FF" w:rsidP="001248F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48FF">
        <w:rPr>
          <w:rFonts w:ascii="等线" w:eastAsia="等线" w:hAnsi="等线"/>
          <w:b/>
          <w:sz w:val="24"/>
        </w:rPr>
        <w:t>Work Language</w:t>
      </w:r>
    </w:p>
    <w:p w14:paraId="0B3B062D" w14:textId="77777777" w:rsidR="001248FF" w:rsidRDefault="001248FF" w:rsidP="001248F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Mandarin</w:t>
      </w:r>
    </w:p>
    <w:p w14:paraId="12EAA277" w14:textId="77777777" w:rsidR="001248FF" w:rsidRDefault="001248FF" w:rsidP="001248F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English</w:t>
      </w:r>
    </w:p>
    <w:p w14:paraId="54F3DDAA" w14:textId="77777777" w:rsidR="001248FF" w:rsidRDefault="001248FF" w:rsidP="001248F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48FF">
        <w:rPr>
          <w:rFonts w:ascii="等线" w:eastAsia="等线" w:hAnsi="等线"/>
          <w:b/>
          <w:sz w:val="24"/>
        </w:rPr>
        <w:t>Professional Background</w:t>
      </w:r>
    </w:p>
    <w:p w14:paraId="5567FC3C" w14:textId="2A8B9BB3" w:rsidR="00686369" w:rsidRPr="001248FF" w:rsidRDefault="001248FF" w:rsidP="001248F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48FF">
        <w:rPr>
          <w:rFonts w:ascii="等线" w:eastAsia="等线" w:hAnsi="Times New Roman"/>
          <w:color w:val="000000"/>
        </w:rPr>
        <w:t>Mr. Ma joined Fangda Partners in 2015. Before joining the firm, he was a senior associate at Freshfields Bruckhaus Deringer LLP. Before that, he worked with a leading Chinese domestic firm.</w:t>
      </w:r>
    </w:p>
    <w:sectPr w:rsidR="00686369" w:rsidRPr="001248F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049F"/>
    <w:multiLevelType w:val="singleLevel"/>
    <w:tmpl w:val="DA8E0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B24331"/>
    <w:multiLevelType w:val="singleLevel"/>
    <w:tmpl w:val="EC728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DF2B9C"/>
    <w:multiLevelType w:val="singleLevel"/>
    <w:tmpl w:val="A9C21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815560"/>
    <w:multiLevelType w:val="singleLevel"/>
    <w:tmpl w:val="8F52D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EB62ED"/>
    <w:multiLevelType w:val="singleLevel"/>
    <w:tmpl w:val="3CAC1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BD5FBA"/>
    <w:multiLevelType w:val="singleLevel"/>
    <w:tmpl w:val="32CE8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3361B6"/>
    <w:multiLevelType w:val="singleLevel"/>
    <w:tmpl w:val="0F082B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CB57DC"/>
    <w:multiLevelType w:val="singleLevel"/>
    <w:tmpl w:val="923EF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DF3F1E"/>
    <w:multiLevelType w:val="singleLevel"/>
    <w:tmpl w:val="CB40D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135C6A"/>
    <w:multiLevelType w:val="singleLevel"/>
    <w:tmpl w:val="86026E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6D2537"/>
    <w:multiLevelType w:val="singleLevel"/>
    <w:tmpl w:val="0FC8A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6F25A3"/>
    <w:multiLevelType w:val="singleLevel"/>
    <w:tmpl w:val="13D65B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026AEF"/>
    <w:multiLevelType w:val="singleLevel"/>
    <w:tmpl w:val="150E13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00245C9"/>
    <w:multiLevelType w:val="singleLevel"/>
    <w:tmpl w:val="91C0E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C1A5765"/>
    <w:multiLevelType w:val="singleLevel"/>
    <w:tmpl w:val="4CA4B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8414FD"/>
    <w:multiLevelType w:val="singleLevel"/>
    <w:tmpl w:val="94669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C57065"/>
    <w:multiLevelType w:val="singleLevel"/>
    <w:tmpl w:val="91C0E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DE36D1"/>
    <w:multiLevelType w:val="singleLevel"/>
    <w:tmpl w:val="5BB46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23579B"/>
    <w:multiLevelType w:val="singleLevel"/>
    <w:tmpl w:val="E3388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E1214F"/>
    <w:multiLevelType w:val="singleLevel"/>
    <w:tmpl w:val="69021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915318"/>
    <w:multiLevelType w:val="singleLevel"/>
    <w:tmpl w:val="904E6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6C2194"/>
    <w:multiLevelType w:val="singleLevel"/>
    <w:tmpl w:val="B5786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E57E0C"/>
    <w:multiLevelType w:val="singleLevel"/>
    <w:tmpl w:val="4DC87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73490E"/>
    <w:multiLevelType w:val="singleLevel"/>
    <w:tmpl w:val="DCDCA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3570C1"/>
    <w:multiLevelType w:val="singleLevel"/>
    <w:tmpl w:val="C030A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648706F"/>
    <w:multiLevelType w:val="singleLevel"/>
    <w:tmpl w:val="F3A6E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6736419"/>
    <w:multiLevelType w:val="singleLevel"/>
    <w:tmpl w:val="E2F44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6F0E5C"/>
    <w:multiLevelType w:val="singleLevel"/>
    <w:tmpl w:val="60E25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197FC3"/>
    <w:multiLevelType w:val="singleLevel"/>
    <w:tmpl w:val="E8B87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A3E6393"/>
    <w:multiLevelType w:val="singleLevel"/>
    <w:tmpl w:val="1F86D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472059"/>
    <w:multiLevelType w:val="singleLevel"/>
    <w:tmpl w:val="AC8CF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20"/>
  </w:num>
  <w:num w:numId="4">
    <w:abstractNumId w:val="0"/>
  </w:num>
  <w:num w:numId="5">
    <w:abstractNumId w:val="3"/>
  </w:num>
  <w:num w:numId="6">
    <w:abstractNumId w:val="27"/>
  </w:num>
  <w:num w:numId="7">
    <w:abstractNumId w:val="32"/>
  </w:num>
  <w:num w:numId="8">
    <w:abstractNumId w:val="5"/>
  </w:num>
  <w:num w:numId="9">
    <w:abstractNumId w:val="17"/>
  </w:num>
  <w:num w:numId="10">
    <w:abstractNumId w:val="28"/>
  </w:num>
  <w:num w:numId="11">
    <w:abstractNumId w:val="6"/>
  </w:num>
  <w:num w:numId="12">
    <w:abstractNumId w:val="7"/>
  </w:num>
  <w:num w:numId="13">
    <w:abstractNumId w:val="11"/>
  </w:num>
  <w:num w:numId="14">
    <w:abstractNumId w:val="26"/>
  </w:num>
  <w:num w:numId="15">
    <w:abstractNumId w:val="14"/>
  </w:num>
  <w:num w:numId="16">
    <w:abstractNumId w:val="30"/>
  </w:num>
  <w:num w:numId="17">
    <w:abstractNumId w:val="2"/>
  </w:num>
  <w:num w:numId="18">
    <w:abstractNumId w:val="25"/>
  </w:num>
  <w:num w:numId="19">
    <w:abstractNumId w:val="22"/>
  </w:num>
  <w:num w:numId="20">
    <w:abstractNumId w:val="8"/>
  </w:num>
  <w:num w:numId="21">
    <w:abstractNumId w:val="10"/>
  </w:num>
  <w:num w:numId="22">
    <w:abstractNumId w:val="23"/>
  </w:num>
  <w:num w:numId="23">
    <w:abstractNumId w:val="16"/>
  </w:num>
  <w:num w:numId="24">
    <w:abstractNumId w:val="12"/>
  </w:num>
  <w:num w:numId="25">
    <w:abstractNumId w:val="31"/>
  </w:num>
  <w:num w:numId="26">
    <w:abstractNumId w:val="21"/>
  </w:num>
  <w:num w:numId="27">
    <w:abstractNumId w:val="1"/>
  </w:num>
  <w:num w:numId="28">
    <w:abstractNumId w:val="4"/>
  </w:num>
  <w:num w:numId="29">
    <w:abstractNumId w:val="19"/>
  </w:num>
  <w:num w:numId="30">
    <w:abstractNumId w:val="24"/>
  </w:num>
  <w:num w:numId="31">
    <w:abstractNumId w:val="29"/>
  </w:num>
  <w:num w:numId="32">
    <w:abstractNumId w:val="1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248FF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248F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248F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B74C809-B75E-42B9-A36F-4E143C2E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2026-10-08T23:19:00Z</dcterms:created>
  <dcterms:modified xsi:type="dcterms:W3CDTF">2026-10-08T23:19:00Z</dcterms:modified>
</cp:coreProperties>
</file>