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2EC290B9" w:rsidR="0049405C" w:rsidRPr="00C24D79" w:rsidRDefault="00E7571F" w:rsidP="00E7571F">
            <w:pPr>
              <w:spacing w:line="720" w:lineRule="auto"/>
              <w:rPr>
                <w:rFonts w:eastAsiaTheme="minorHAnsi"/>
                <w:color w:val="545551"/>
              </w:rPr>
            </w:pPr>
            <w:bookmarkStart w:id="0" w:name="xingming"/>
            <w:bookmarkStart w:id="1" w:name="_GoBack"/>
            <w:bookmarkEnd w:id="1"/>
            <w:r w:rsidRPr="00E7571F">
              <w:rPr>
                <w:rFonts w:ascii="等线" w:eastAsia="等线" w:hAnsi="Times New Roman"/>
                <w:b/>
                <w:color w:val="000000"/>
                <w:sz w:val="48"/>
              </w:rPr>
              <w:t>NORMAN ZHONG</w:t>
            </w:r>
            <w:bookmarkEnd w:id="0"/>
          </w:p>
          <w:p w14:paraId="464FDBF5" w14:textId="77777777" w:rsidR="00E7571F" w:rsidRPr="00E7571F" w:rsidRDefault="00E7571F" w:rsidP="00E7571F">
            <w:pPr>
              <w:spacing w:line="360" w:lineRule="auto"/>
              <w:rPr>
                <w:rFonts w:ascii="等线" w:eastAsia="等线" w:hAnsi="Times New Roman"/>
                <w:b/>
                <w:bCs/>
                <w:color w:val="000000"/>
              </w:rPr>
            </w:pPr>
            <w:bookmarkStart w:id="2" w:name="didian"/>
            <w:r w:rsidRPr="00E7571F">
              <w:rPr>
                <w:rFonts w:ascii="等线" w:eastAsia="等线" w:hAnsi="Times New Roman"/>
                <w:b/>
                <w:bCs/>
                <w:color w:val="000000"/>
              </w:rPr>
              <w:t>Partner</w:t>
            </w:r>
            <w:r w:rsidRPr="00E7571F">
              <w:rPr>
                <w:rFonts w:ascii="等线" w:eastAsia="等线" w:hAnsi="Times New Roman"/>
                <w:b/>
                <w:bCs/>
                <w:color w:val="000000"/>
              </w:rPr>
              <w:t>·</w:t>
            </w:r>
            <w:r w:rsidRPr="00E7571F">
              <w:rPr>
                <w:rFonts w:ascii="等线" w:eastAsia="等线" w:hAnsi="Times New Roman"/>
                <w:b/>
                <w:bCs/>
                <w:color w:val="000000"/>
              </w:rPr>
              <w:t>Shanghai</w:t>
            </w:r>
          </w:p>
          <w:p w14:paraId="706EB16B" w14:textId="00B62C49" w:rsidR="0049405C" w:rsidRPr="00C24D79" w:rsidRDefault="00E7571F" w:rsidP="00E7571F">
            <w:pPr>
              <w:spacing w:line="360" w:lineRule="auto"/>
              <w:rPr>
                <w:rFonts w:eastAsiaTheme="minorHAnsi"/>
                <w:b/>
                <w:bCs/>
                <w:color w:val="545551"/>
              </w:rPr>
            </w:pPr>
            <w:r w:rsidRPr="00E7571F">
              <w:rPr>
                <w:rFonts w:ascii="等线" w:eastAsia="等线" w:hAnsi="Times New Roman"/>
                <w:b/>
                <w:bCs/>
                <w:color w:val="000000"/>
              </w:rPr>
              <w:t>Registered Foreign Lawyer (PRC)</w:t>
            </w:r>
            <w:r w:rsidRPr="00E7571F">
              <w:rPr>
                <w:rFonts w:ascii="等线" w:eastAsia="等线" w:hAnsi="Times New Roman"/>
                <w:b/>
                <w:bCs/>
                <w:color w:val="000000"/>
              </w:rPr>
              <w:t>·</w:t>
            </w:r>
            <w:r w:rsidRPr="00E7571F">
              <w:rPr>
                <w:rFonts w:ascii="等线" w:eastAsia="等线" w:hAnsi="Times New Roman"/>
                <w:b/>
                <w:bCs/>
                <w:color w:val="000000"/>
              </w:rPr>
              <w:t>Hong Kong</w:t>
            </w:r>
            <w:bookmarkEnd w:id="2"/>
          </w:p>
          <w:p w14:paraId="6199424A" w14:textId="67CD9DAC" w:rsidR="0049405C" w:rsidRPr="00C24D79" w:rsidRDefault="00E7571F" w:rsidP="00E7571F">
            <w:pPr>
              <w:spacing w:line="360" w:lineRule="auto"/>
              <w:rPr>
                <w:rFonts w:eastAsiaTheme="minorHAnsi"/>
                <w:color w:val="545551"/>
              </w:rPr>
            </w:pPr>
            <w:bookmarkStart w:id="3" w:name="dianhua"/>
            <w:r w:rsidRPr="00E7571F">
              <w:rPr>
                <w:rFonts w:ascii="等线" w:eastAsia="等线" w:hAnsi="Times New Roman"/>
                <w:color w:val="000000"/>
              </w:rPr>
              <w:t xml:space="preserve">+86 21 2208 1138 / +852 3976 8813 </w:t>
            </w:r>
            <w:bookmarkEnd w:id="3"/>
          </w:p>
          <w:p w14:paraId="4F910ACA" w14:textId="5626AF51" w:rsidR="0049405C" w:rsidRPr="00C24D79" w:rsidRDefault="00E7571F" w:rsidP="00E7571F">
            <w:pPr>
              <w:spacing w:line="360" w:lineRule="auto"/>
              <w:rPr>
                <w:rFonts w:eastAsiaTheme="minorHAnsi"/>
                <w:color w:val="000000"/>
              </w:rPr>
            </w:pPr>
            <w:bookmarkStart w:id="4" w:name="youxiang"/>
            <w:r w:rsidRPr="00E7571F">
              <w:rPr>
                <w:rFonts w:ascii="等线" w:eastAsia="等线" w:hAnsi="Times New Roman"/>
                <w:color w:val="000000"/>
              </w:rPr>
              <w:t>norman.zhong@fangdalaw.com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1C8EBBB7" w:rsidR="0049405C" w:rsidRPr="00C24D79" w:rsidRDefault="00E7571F"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2AC42D14" wp14:editId="6CFE4C43">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2520A7F2" w:rsidR="009465FB" w:rsidRPr="00C24D79" w:rsidRDefault="00E7571F" w:rsidP="007177F3">
            <w:pPr>
              <w:rPr>
                <w:rFonts w:eastAsiaTheme="minorHAnsi"/>
                <w:color w:val="000000"/>
                <w:szCs w:val="21"/>
              </w:rPr>
            </w:pPr>
            <w:bookmarkStart w:id="6" w:name="zhiyelingyu"/>
            <w:r w:rsidRPr="00E7571F">
              <w:rPr>
                <w:rFonts w:ascii="等线" w:eastAsia="等线" w:hAnsi="Times New Roman"/>
                <w:color w:val="000000"/>
                <w:szCs w:val="21"/>
              </w:rPr>
              <w:t>MR. NORMAN ZHONG HAS EXTENSIVE EXPERIENCE IN THE AREAS OF MERGERS &amp; ACQUISITIONS, PRIVATE EQUITY, JOINT VENTURES, CAPITAL MARKET, FUND FORMATION AND CORPORATE FINANCE.</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0079F2D" w14:textId="77777777" w:rsidR="00E7571F"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A799EC4" w14:textId="77777777" w:rsidR="00E7571F" w:rsidRDefault="00E7571F" w:rsidP="00E7571F">
      <w:pPr>
        <w:pStyle w:val="af5"/>
        <w:spacing w:after="0" w:line="480" w:lineRule="auto"/>
        <w:rPr>
          <w:rFonts w:ascii="等线" w:eastAsia="等线" w:hAnsi="等线"/>
          <w:b/>
          <w:sz w:val="24"/>
        </w:rPr>
      </w:pPr>
      <w:r w:rsidRPr="00E7571F">
        <w:rPr>
          <w:rFonts w:ascii="等线" w:eastAsia="等线" w:hAnsi="等线"/>
          <w:b/>
          <w:sz w:val="24"/>
        </w:rPr>
        <w:t>REPRESENTATIVE MATTERS AND CASES</w:t>
      </w:r>
    </w:p>
    <w:p w14:paraId="2AC97C66" w14:textId="77777777" w:rsidR="00E7571F" w:rsidRDefault="00E7571F" w:rsidP="00E7571F">
      <w:pPr>
        <w:pStyle w:val="af5"/>
        <w:spacing w:before="120"/>
        <w:rPr>
          <w:rFonts w:ascii="等线" w:eastAsia="等线" w:hAnsi="Times New Roman"/>
          <w:color w:val="000000"/>
        </w:rPr>
      </w:pPr>
      <w:r w:rsidRPr="00E7571F">
        <w:rPr>
          <w:rFonts w:ascii="等线" w:eastAsia="等线" w:hAnsi="Times New Roman"/>
          <w:color w:val="000000"/>
        </w:rPr>
        <w:t>New Economy &amp; Growth Company M&amp;A, Sales &amp; Financing</w:t>
      </w:r>
    </w:p>
    <w:p w14:paraId="6E5ED9B0" w14:textId="77777777" w:rsidR="00E7571F" w:rsidRDefault="00E7571F" w:rsidP="00E7571F">
      <w:pPr>
        <w:pStyle w:val="af5"/>
        <w:numPr>
          <w:ilvl w:val="0"/>
          <w:numId w:val="1"/>
        </w:numPr>
        <w:spacing w:before="120"/>
        <w:ind w:left="690" w:hanging="240"/>
        <w:rPr>
          <w:rFonts w:ascii="等线" w:eastAsia="等线" w:hAnsi="Times New Roman"/>
          <w:color w:val="000000"/>
        </w:rPr>
      </w:pPr>
      <w:r w:rsidRPr="00E7571F">
        <w:rPr>
          <w:rFonts w:ascii="等线" w:eastAsia="等线" w:hAnsi="Times New Roman"/>
          <w:color w:val="000000"/>
        </w:rPr>
        <w:t>Represented Wingtech Technology on its sale of ODM business to Luxshare and other strategic transactions</w:t>
      </w:r>
    </w:p>
    <w:p w14:paraId="78ED2969" w14:textId="77777777" w:rsidR="00E7571F" w:rsidRDefault="00E7571F" w:rsidP="00E7571F">
      <w:pPr>
        <w:pStyle w:val="af5"/>
        <w:numPr>
          <w:ilvl w:val="0"/>
          <w:numId w:val="2"/>
        </w:numPr>
        <w:spacing w:before="120"/>
        <w:ind w:left="690" w:hanging="240"/>
        <w:rPr>
          <w:rFonts w:ascii="等线" w:eastAsia="等线" w:hAnsi="Times New Roman"/>
          <w:color w:val="000000"/>
        </w:rPr>
      </w:pPr>
      <w:r w:rsidRPr="00E7571F">
        <w:rPr>
          <w:rFonts w:ascii="等线" w:eastAsia="等线" w:hAnsi="Times New Roman"/>
          <w:color w:val="000000"/>
        </w:rPr>
        <w:t>Represented Alibaba in its sale of Intime to Younger Group</w:t>
      </w:r>
    </w:p>
    <w:p w14:paraId="67C2D02D" w14:textId="77777777" w:rsidR="00E7571F" w:rsidRDefault="00E7571F" w:rsidP="00E7571F">
      <w:pPr>
        <w:pStyle w:val="af5"/>
        <w:numPr>
          <w:ilvl w:val="0"/>
          <w:numId w:val="3"/>
        </w:numPr>
        <w:spacing w:before="120"/>
        <w:ind w:left="690" w:hanging="240"/>
        <w:rPr>
          <w:rFonts w:ascii="等线" w:eastAsia="等线" w:hAnsi="Times New Roman"/>
          <w:color w:val="000000"/>
        </w:rPr>
      </w:pPr>
      <w:r w:rsidRPr="00E7571F">
        <w:rPr>
          <w:rFonts w:ascii="等线" w:eastAsia="等线" w:hAnsi="Times New Roman"/>
          <w:color w:val="000000"/>
        </w:rPr>
        <w:t>Represented Alibaba in its sale of Sun Art to DCP</w:t>
      </w:r>
    </w:p>
    <w:p w14:paraId="4D312055" w14:textId="77777777" w:rsidR="00E7571F" w:rsidRDefault="00E7571F" w:rsidP="00E7571F">
      <w:pPr>
        <w:pStyle w:val="af5"/>
        <w:numPr>
          <w:ilvl w:val="0"/>
          <w:numId w:val="4"/>
        </w:numPr>
        <w:spacing w:before="120"/>
        <w:ind w:left="690" w:hanging="240"/>
        <w:rPr>
          <w:rFonts w:ascii="等线" w:eastAsia="等线" w:hAnsi="Times New Roman"/>
          <w:color w:val="000000"/>
        </w:rPr>
      </w:pPr>
      <w:r w:rsidRPr="00E7571F">
        <w:rPr>
          <w:rFonts w:ascii="等线" w:eastAsia="等线" w:hAnsi="Times New Roman"/>
          <w:color w:val="000000"/>
        </w:rPr>
        <w:t>Represented Envision Energy in its wind power joint venture with PIF and Vision Industries in Saudi Arabia</w:t>
      </w:r>
    </w:p>
    <w:p w14:paraId="6E2130C5" w14:textId="77777777" w:rsidR="00E7571F" w:rsidRDefault="00E7571F" w:rsidP="00E7571F">
      <w:pPr>
        <w:pStyle w:val="af5"/>
        <w:numPr>
          <w:ilvl w:val="0"/>
          <w:numId w:val="5"/>
        </w:numPr>
        <w:spacing w:before="120"/>
        <w:ind w:left="690" w:hanging="240"/>
        <w:rPr>
          <w:rFonts w:ascii="等线" w:eastAsia="等线" w:hAnsi="Times New Roman"/>
          <w:color w:val="000000"/>
        </w:rPr>
      </w:pPr>
      <w:r w:rsidRPr="00E7571F">
        <w:rPr>
          <w:rFonts w:ascii="等线" w:eastAsia="等线" w:hAnsi="Times New Roman"/>
          <w:color w:val="000000"/>
        </w:rPr>
        <w:t>Represented Envision Energy in its wind farm sector joint venture with Brookfield and GIC</w:t>
      </w:r>
    </w:p>
    <w:p w14:paraId="2438BD81" w14:textId="77777777" w:rsidR="00E7571F" w:rsidRDefault="00E7571F" w:rsidP="00E7571F">
      <w:pPr>
        <w:pStyle w:val="af5"/>
        <w:numPr>
          <w:ilvl w:val="0"/>
          <w:numId w:val="6"/>
        </w:numPr>
        <w:spacing w:before="120"/>
        <w:ind w:left="690" w:hanging="240"/>
        <w:rPr>
          <w:rFonts w:ascii="等线" w:eastAsia="等线" w:hAnsi="Times New Roman"/>
          <w:color w:val="000000"/>
        </w:rPr>
      </w:pPr>
      <w:r w:rsidRPr="00E7571F">
        <w:rPr>
          <w:rFonts w:ascii="等线" w:eastAsia="等线" w:hAnsi="Times New Roman"/>
          <w:color w:val="000000"/>
        </w:rPr>
        <w:t>Represented AESC (previously Envision AESC), a leading battery producer, in its various financings, including its USD1 billion financing led by Envision Energy</w:t>
      </w:r>
    </w:p>
    <w:p w14:paraId="76320282" w14:textId="77777777" w:rsidR="00E7571F" w:rsidRDefault="00E7571F" w:rsidP="00E7571F">
      <w:pPr>
        <w:pStyle w:val="af5"/>
        <w:numPr>
          <w:ilvl w:val="0"/>
          <w:numId w:val="7"/>
        </w:numPr>
        <w:spacing w:before="120"/>
        <w:ind w:left="690" w:hanging="240"/>
        <w:rPr>
          <w:rFonts w:ascii="等线" w:eastAsia="等线" w:hAnsi="Times New Roman"/>
          <w:color w:val="000000"/>
        </w:rPr>
      </w:pPr>
      <w:r w:rsidRPr="00E7571F">
        <w:rPr>
          <w:rFonts w:ascii="等线" w:eastAsia="等线" w:hAnsi="Times New Roman"/>
          <w:color w:val="000000"/>
        </w:rPr>
        <w:t>Represented XPENG (NYSE: XPEV, HKEX: 9868) in its strategic cooperation with Volkswagen Group to develop industry-leading E/E Architecture for Volkswagen</w:t>
      </w:r>
      <w:r w:rsidRPr="00E7571F">
        <w:rPr>
          <w:rFonts w:ascii="等线" w:eastAsia="等线" w:hAnsi="Times New Roman"/>
          <w:color w:val="000000"/>
        </w:rPr>
        <w:t>’</w:t>
      </w:r>
      <w:r w:rsidRPr="00E7571F">
        <w:rPr>
          <w:rFonts w:ascii="等线" w:eastAsia="等线" w:hAnsi="Times New Roman"/>
          <w:color w:val="000000"/>
        </w:rPr>
        <w:t>s EV platform for</w:t>
      </w:r>
      <w:r w:rsidRPr="00E7571F">
        <w:rPr>
          <w:rFonts w:ascii="等线" w:eastAsia="等线" w:hAnsi="Times New Roman"/>
          <w:color w:val="000000"/>
        </w:rPr>
        <w:t> </w:t>
      </w:r>
      <w:r w:rsidRPr="00E7571F">
        <w:rPr>
          <w:rFonts w:ascii="等线" w:eastAsia="等线" w:hAnsi="Times New Roman"/>
          <w:color w:val="000000"/>
        </w:rPr>
        <w:t>China,</w:t>
      </w:r>
    </w:p>
    <w:p w14:paraId="346B7986" w14:textId="77777777" w:rsidR="00E7571F" w:rsidRDefault="00E7571F" w:rsidP="00E7571F">
      <w:pPr>
        <w:pStyle w:val="af5"/>
        <w:numPr>
          <w:ilvl w:val="0"/>
          <w:numId w:val="8"/>
        </w:numPr>
        <w:spacing w:before="120"/>
        <w:ind w:left="690" w:hanging="240"/>
        <w:rPr>
          <w:rFonts w:ascii="等线" w:eastAsia="等线" w:hAnsi="Times New Roman"/>
          <w:color w:val="000000"/>
        </w:rPr>
      </w:pPr>
      <w:r w:rsidRPr="00E7571F">
        <w:rPr>
          <w:rFonts w:ascii="等线" w:eastAsia="等线" w:hAnsi="Times New Roman"/>
          <w:color w:val="000000"/>
        </w:rPr>
        <w:t>Represented XPENG in its strategic collaboration of battery electric vehicles development with and its share issuance to Volkswagen Group for USD700 million,</w:t>
      </w:r>
    </w:p>
    <w:p w14:paraId="317FFA26" w14:textId="77777777" w:rsidR="00E7571F" w:rsidRDefault="00E7571F" w:rsidP="00E7571F">
      <w:pPr>
        <w:pStyle w:val="af5"/>
        <w:numPr>
          <w:ilvl w:val="0"/>
          <w:numId w:val="9"/>
        </w:numPr>
        <w:spacing w:before="120"/>
        <w:ind w:left="690" w:hanging="240"/>
        <w:rPr>
          <w:rFonts w:ascii="等线" w:eastAsia="等线" w:hAnsi="Times New Roman"/>
          <w:color w:val="000000"/>
        </w:rPr>
      </w:pPr>
      <w:r w:rsidRPr="00E7571F">
        <w:rPr>
          <w:rFonts w:ascii="等线" w:eastAsia="等线" w:hAnsi="Times New Roman"/>
          <w:color w:val="000000"/>
        </w:rPr>
        <w:t>Represented XPENG in its strategic partnership with DiDi Global Inc., including the issuance of shares to DiDi and acquisition of certain assets of DiDi</w:t>
      </w:r>
    </w:p>
    <w:p w14:paraId="6D8D9582" w14:textId="77777777" w:rsidR="00E7571F" w:rsidRDefault="00E7571F" w:rsidP="00E7571F">
      <w:pPr>
        <w:pStyle w:val="af5"/>
        <w:numPr>
          <w:ilvl w:val="0"/>
          <w:numId w:val="10"/>
        </w:numPr>
        <w:spacing w:before="120"/>
        <w:ind w:left="690" w:hanging="240"/>
        <w:rPr>
          <w:rFonts w:ascii="等线" w:eastAsia="等线" w:hAnsi="Times New Roman"/>
          <w:color w:val="000000"/>
        </w:rPr>
      </w:pPr>
      <w:r w:rsidRPr="00E7571F">
        <w:rPr>
          <w:rFonts w:ascii="等线" w:eastAsia="等线" w:hAnsi="Times New Roman"/>
          <w:color w:val="000000"/>
        </w:rPr>
        <w:t xml:space="preserve">Represented Alibaba in numerous controlled or minority investments, including its investments in Shihui, Zuoyebang and various investments in the </w:t>
      </w:r>
      <w:r w:rsidRPr="00E7571F">
        <w:rPr>
          <w:rFonts w:ascii="等线" w:eastAsia="等线" w:hAnsi="Times New Roman"/>
          <w:color w:val="000000"/>
        </w:rPr>
        <w:t>“</w:t>
      </w:r>
      <w:r w:rsidRPr="00E7571F">
        <w:rPr>
          <w:rFonts w:ascii="等线" w:eastAsia="等线" w:hAnsi="Times New Roman"/>
          <w:color w:val="000000"/>
        </w:rPr>
        <w:t>new retail</w:t>
      </w:r>
      <w:r w:rsidRPr="00E7571F">
        <w:rPr>
          <w:rFonts w:ascii="等线" w:eastAsia="等线" w:hAnsi="Times New Roman"/>
          <w:color w:val="000000"/>
        </w:rPr>
        <w:t>”</w:t>
      </w:r>
      <w:r w:rsidRPr="00E7571F">
        <w:rPr>
          <w:rFonts w:ascii="等线" w:eastAsia="等线" w:hAnsi="Times New Roman"/>
          <w:color w:val="000000"/>
        </w:rPr>
        <w:t xml:space="preserve"> sector</w:t>
      </w:r>
    </w:p>
    <w:p w14:paraId="4C1DCD45" w14:textId="77777777" w:rsidR="00E7571F" w:rsidRDefault="00E7571F" w:rsidP="00E7571F">
      <w:pPr>
        <w:pStyle w:val="af5"/>
        <w:numPr>
          <w:ilvl w:val="0"/>
          <w:numId w:val="11"/>
        </w:numPr>
        <w:spacing w:before="120"/>
        <w:ind w:left="690" w:hanging="240"/>
        <w:rPr>
          <w:rFonts w:ascii="等线" w:eastAsia="等线" w:hAnsi="Times New Roman"/>
          <w:color w:val="000000"/>
        </w:rPr>
      </w:pPr>
      <w:r w:rsidRPr="00E7571F">
        <w:rPr>
          <w:rFonts w:ascii="等线" w:eastAsia="等线" w:hAnsi="Times New Roman"/>
          <w:color w:val="000000"/>
        </w:rPr>
        <w:t>Represented Ant Financial in various investments, including its investment in Wanda</w:t>
      </w:r>
      <w:r w:rsidRPr="00E7571F">
        <w:rPr>
          <w:rFonts w:ascii="等线" w:eastAsia="等线" w:hAnsi="Times New Roman"/>
          <w:color w:val="000000"/>
        </w:rPr>
        <w:t>’</w:t>
      </w:r>
      <w:r w:rsidRPr="00E7571F">
        <w:rPr>
          <w:rFonts w:ascii="等线" w:eastAsia="等线" w:hAnsi="Times New Roman"/>
          <w:color w:val="000000"/>
        </w:rPr>
        <w:t>s commercial property management business</w:t>
      </w:r>
    </w:p>
    <w:p w14:paraId="43EA689B" w14:textId="77777777" w:rsidR="00E7571F" w:rsidRDefault="00E7571F" w:rsidP="00E7571F">
      <w:pPr>
        <w:pStyle w:val="af5"/>
        <w:numPr>
          <w:ilvl w:val="0"/>
          <w:numId w:val="12"/>
        </w:numPr>
        <w:spacing w:before="120"/>
        <w:ind w:left="690" w:hanging="240"/>
        <w:rPr>
          <w:rFonts w:ascii="等线" w:eastAsia="等线" w:hAnsi="Times New Roman"/>
          <w:color w:val="000000"/>
        </w:rPr>
      </w:pPr>
      <w:r w:rsidRPr="00E7571F">
        <w:rPr>
          <w:rFonts w:ascii="等线" w:eastAsia="等线" w:hAnsi="Times New Roman"/>
          <w:color w:val="000000"/>
        </w:rPr>
        <w:t>Represented Univers (previously Envision Digital), a leading digital clean energy company, in all of its major equity financings</w:t>
      </w:r>
    </w:p>
    <w:p w14:paraId="363F4873" w14:textId="77777777" w:rsidR="00E7571F" w:rsidRDefault="00E7571F" w:rsidP="00E7571F">
      <w:pPr>
        <w:pStyle w:val="af5"/>
        <w:numPr>
          <w:ilvl w:val="0"/>
          <w:numId w:val="13"/>
        </w:numPr>
        <w:spacing w:before="120"/>
        <w:ind w:left="690" w:hanging="240"/>
        <w:rPr>
          <w:rFonts w:ascii="等线" w:eastAsia="等线" w:hAnsi="Times New Roman"/>
          <w:color w:val="000000"/>
        </w:rPr>
      </w:pPr>
      <w:r w:rsidRPr="00E7571F">
        <w:rPr>
          <w:rFonts w:ascii="等线" w:eastAsia="等线" w:hAnsi="Times New Roman"/>
          <w:color w:val="000000"/>
        </w:rPr>
        <w:t>Represented Moonton Technology in its auction sale and its multibillion US dollar acquisition by ByteDance in one of the largest acquisitions in the gaming industry history</w:t>
      </w:r>
    </w:p>
    <w:p w14:paraId="616CB094" w14:textId="77777777" w:rsidR="00E7571F" w:rsidRDefault="00E7571F" w:rsidP="00E7571F">
      <w:pPr>
        <w:pStyle w:val="af5"/>
        <w:numPr>
          <w:ilvl w:val="0"/>
          <w:numId w:val="14"/>
        </w:numPr>
        <w:spacing w:before="120"/>
        <w:ind w:left="690" w:hanging="240"/>
        <w:rPr>
          <w:rFonts w:ascii="等线" w:eastAsia="等线" w:hAnsi="Times New Roman"/>
          <w:color w:val="000000"/>
        </w:rPr>
      </w:pPr>
      <w:r w:rsidRPr="00E7571F">
        <w:rPr>
          <w:rFonts w:ascii="等线" w:eastAsia="等线" w:hAnsi="Times New Roman"/>
          <w:color w:val="000000"/>
        </w:rPr>
        <w:t>Represented Envision Energy in forming its carbo zero investment platform with Sequoia to invest in solar and wind clean energy projects</w:t>
      </w:r>
    </w:p>
    <w:p w14:paraId="4C3EE2D1" w14:textId="77777777" w:rsidR="00E7571F" w:rsidRDefault="00E7571F" w:rsidP="00E7571F">
      <w:pPr>
        <w:pStyle w:val="af5"/>
        <w:numPr>
          <w:ilvl w:val="0"/>
          <w:numId w:val="15"/>
        </w:numPr>
        <w:spacing w:before="120"/>
        <w:ind w:left="690" w:hanging="240"/>
        <w:rPr>
          <w:rFonts w:ascii="等线" w:eastAsia="等线" w:hAnsi="Times New Roman"/>
          <w:color w:val="000000"/>
        </w:rPr>
      </w:pPr>
      <w:r w:rsidRPr="00E7571F">
        <w:rPr>
          <w:rFonts w:ascii="等线" w:eastAsia="等线" w:hAnsi="Times New Roman"/>
          <w:color w:val="000000"/>
        </w:rPr>
        <w:t>Represented Envision Energy in all of its major equity financings, including the USD600 million investment by Primavera, Sequoia and GIC</w:t>
      </w:r>
    </w:p>
    <w:p w14:paraId="731E293F" w14:textId="77777777" w:rsidR="00E7571F" w:rsidRDefault="00E7571F" w:rsidP="00E7571F">
      <w:pPr>
        <w:pStyle w:val="af5"/>
        <w:numPr>
          <w:ilvl w:val="0"/>
          <w:numId w:val="16"/>
        </w:numPr>
        <w:spacing w:before="120"/>
        <w:ind w:left="690" w:hanging="240"/>
        <w:rPr>
          <w:rFonts w:ascii="等线" w:eastAsia="等线" w:hAnsi="Times New Roman"/>
          <w:color w:val="000000"/>
        </w:rPr>
      </w:pPr>
      <w:r w:rsidRPr="00E7571F">
        <w:rPr>
          <w:rFonts w:ascii="等线" w:eastAsia="等线" w:hAnsi="Times New Roman"/>
          <w:color w:val="000000"/>
        </w:rPr>
        <w:t>Represented Envision Group in its leveraged acquisition of AESC, a joint venture between Nissan Motor Company and NEC and simultaneous acquisition of NECED from NEC, and the resulting joint venture between the buyer and Nissan in a transaction valued at more than USD1 billion</w:t>
      </w:r>
    </w:p>
    <w:p w14:paraId="177B5A8C" w14:textId="77777777" w:rsidR="00E7571F" w:rsidRDefault="00E7571F" w:rsidP="00E7571F">
      <w:pPr>
        <w:pStyle w:val="af5"/>
        <w:numPr>
          <w:ilvl w:val="0"/>
          <w:numId w:val="17"/>
        </w:numPr>
        <w:spacing w:before="120"/>
        <w:ind w:left="690" w:hanging="240"/>
        <w:rPr>
          <w:rFonts w:ascii="等线" w:eastAsia="等线" w:hAnsi="Times New Roman"/>
          <w:color w:val="000000"/>
        </w:rPr>
      </w:pPr>
      <w:r w:rsidRPr="00E7571F">
        <w:rPr>
          <w:rFonts w:ascii="等线" w:eastAsia="等线" w:hAnsi="Times New Roman"/>
          <w:color w:val="000000"/>
        </w:rPr>
        <w:t>Represented Wanye (600641) in its USD398 million acquisition of Compart System Pte. Ltd. from Platinum Capital</w:t>
      </w:r>
    </w:p>
    <w:p w14:paraId="2CF57929" w14:textId="77777777" w:rsidR="00E7571F" w:rsidRDefault="00E7571F" w:rsidP="00E7571F">
      <w:pPr>
        <w:pStyle w:val="af5"/>
        <w:numPr>
          <w:ilvl w:val="0"/>
          <w:numId w:val="18"/>
        </w:numPr>
        <w:spacing w:before="120"/>
        <w:ind w:left="690" w:hanging="240"/>
        <w:rPr>
          <w:rFonts w:ascii="等线" w:eastAsia="等线" w:hAnsi="Times New Roman"/>
          <w:color w:val="000000"/>
        </w:rPr>
      </w:pPr>
      <w:r w:rsidRPr="00E7571F">
        <w:rPr>
          <w:rFonts w:ascii="等线" w:eastAsia="等线" w:hAnsi="Times New Roman"/>
          <w:color w:val="000000"/>
        </w:rPr>
        <w:t>Represented Alibaba in various joint venture initiatives, including in its investment (together with Tencent and Oriza) in China Media Capital; Represented Fliggy, an affiliate of Alibaba, in its joint venture with Marriott</w:t>
      </w:r>
    </w:p>
    <w:p w14:paraId="560BB55B" w14:textId="77777777" w:rsidR="00E7571F" w:rsidRDefault="00E7571F" w:rsidP="00E7571F">
      <w:pPr>
        <w:pStyle w:val="af5"/>
        <w:numPr>
          <w:ilvl w:val="0"/>
          <w:numId w:val="19"/>
        </w:numPr>
        <w:spacing w:before="120"/>
        <w:ind w:left="690" w:hanging="240"/>
        <w:rPr>
          <w:rFonts w:ascii="等线" w:eastAsia="等线" w:hAnsi="Times New Roman"/>
          <w:color w:val="000000"/>
        </w:rPr>
      </w:pPr>
      <w:r w:rsidRPr="00E7571F">
        <w:rPr>
          <w:rFonts w:ascii="等线" w:eastAsia="等线" w:hAnsi="Times New Roman"/>
          <w:color w:val="000000"/>
        </w:rPr>
        <w:t>Represented Alibaba in (i) its RMB28.23 billion (USD4.63 billion) investment for a 19.99% stake in and Suning Commerce Group Limited, (ii) Suning Commerce Group Limited</w:t>
      </w:r>
      <w:r w:rsidRPr="00E7571F">
        <w:rPr>
          <w:rFonts w:ascii="等线" w:eastAsia="等线" w:hAnsi="Times New Roman"/>
          <w:color w:val="000000"/>
        </w:rPr>
        <w:t>’</w:t>
      </w:r>
      <w:r w:rsidRPr="00E7571F">
        <w:rPr>
          <w:rFonts w:ascii="等线" w:eastAsia="等线" w:hAnsi="Times New Roman"/>
          <w:color w:val="000000"/>
        </w:rPr>
        <w:t>s RMB14 billion (USD2.28 billion) investment in Alibaba, (iii) joint venture with Suning; and</w:t>
      </w:r>
    </w:p>
    <w:p w14:paraId="745AA1BB" w14:textId="77777777" w:rsidR="00E7571F" w:rsidRDefault="00E7571F" w:rsidP="00E7571F">
      <w:pPr>
        <w:pStyle w:val="af5"/>
        <w:numPr>
          <w:ilvl w:val="0"/>
          <w:numId w:val="20"/>
        </w:numPr>
        <w:spacing w:before="120"/>
        <w:ind w:left="690" w:hanging="240"/>
        <w:rPr>
          <w:rFonts w:ascii="等线" w:eastAsia="等线" w:hAnsi="Times New Roman"/>
          <w:color w:val="000000"/>
        </w:rPr>
      </w:pPr>
      <w:r w:rsidRPr="00E7571F">
        <w:rPr>
          <w:rFonts w:ascii="等线" w:eastAsia="等线" w:hAnsi="Times New Roman"/>
          <w:color w:val="000000"/>
        </w:rPr>
        <w:t xml:space="preserve">Represented PDSTI, a high-tech industry focused investor, in its various acquisitions.   </w:t>
      </w:r>
      <w:r w:rsidRPr="00E7571F">
        <w:rPr>
          <w:rFonts w:ascii="等线" w:eastAsia="等线" w:hAnsi="Times New Roman"/>
          <w:color w:val="000000"/>
        </w:rPr>
        <w:t> </w:t>
      </w:r>
      <w:r w:rsidRPr="00E7571F">
        <w:rPr>
          <w:rFonts w:ascii="等线" w:eastAsia="等线" w:hAnsi="Times New Roman"/>
          <w:color w:val="000000"/>
        </w:rPr>
        <w:t>Other clients include Creative Artists Agency, Pacific Online, Singulato, and Youzu Interactive Co.</w:t>
      </w:r>
    </w:p>
    <w:p w14:paraId="70596D69" w14:textId="77777777" w:rsidR="00E7571F" w:rsidRDefault="00E7571F" w:rsidP="00E7571F">
      <w:pPr>
        <w:pStyle w:val="af5"/>
        <w:spacing w:before="120"/>
        <w:rPr>
          <w:rFonts w:ascii="等线" w:eastAsia="等线" w:hAnsi="Times New Roman"/>
          <w:color w:val="000000"/>
        </w:rPr>
      </w:pPr>
      <w:r w:rsidRPr="00E7571F">
        <w:rPr>
          <w:rFonts w:ascii="等线" w:eastAsia="等线" w:hAnsi="Times New Roman"/>
          <w:color w:val="000000"/>
        </w:rPr>
        <w:t>Strategic Investor M&amp;A, Joint Ventures &amp; Investments</w:t>
      </w:r>
    </w:p>
    <w:p w14:paraId="4E3EF2C5" w14:textId="77777777" w:rsidR="00E7571F" w:rsidRDefault="00E7571F" w:rsidP="00E7571F">
      <w:pPr>
        <w:pStyle w:val="af5"/>
        <w:numPr>
          <w:ilvl w:val="0"/>
          <w:numId w:val="21"/>
        </w:numPr>
        <w:spacing w:before="120"/>
        <w:ind w:left="690" w:hanging="240"/>
        <w:rPr>
          <w:rFonts w:ascii="等线" w:eastAsia="等线" w:hAnsi="Times New Roman"/>
          <w:color w:val="000000"/>
        </w:rPr>
      </w:pPr>
      <w:r w:rsidRPr="00E7571F">
        <w:rPr>
          <w:rFonts w:ascii="等线" w:eastAsia="等线" w:hAnsi="Times New Roman"/>
          <w:color w:val="000000"/>
        </w:rPr>
        <w:t>Represented Swire Pacific in its control acquisition of DeltaHealth</w:t>
      </w:r>
    </w:p>
    <w:p w14:paraId="4A972196" w14:textId="77777777" w:rsidR="00E7571F" w:rsidRDefault="00E7571F" w:rsidP="00E7571F">
      <w:pPr>
        <w:pStyle w:val="af5"/>
        <w:numPr>
          <w:ilvl w:val="0"/>
          <w:numId w:val="22"/>
        </w:numPr>
        <w:spacing w:before="120"/>
        <w:ind w:left="690" w:hanging="240"/>
        <w:rPr>
          <w:rFonts w:ascii="等线" w:eastAsia="等线" w:hAnsi="Times New Roman"/>
          <w:color w:val="000000"/>
        </w:rPr>
      </w:pPr>
      <w:r w:rsidRPr="00E7571F">
        <w:rPr>
          <w:rFonts w:ascii="等线" w:eastAsia="等线" w:hAnsi="Times New Roman"/>
          <w:color w:val="000000"/>
        </w:rPr>
        <w:t>Represented Syensqo in its transactions in China</w:t>
      </w:r>
    </w:p>
    <w:p w14:paraId="08453C19" w14:textId="77777777" w:rsidR="00E7571F" w:rsidRDefault="00E7571F" w:rsidP="00E7571F">
      <w:pPr>
        <w:pStyle w:val="af5"/>
        <w:numPr>
          <w:ilvl w:val="0"/>
          <w:numId w:val="23"/>
        </w:numPr>
        <w:spacing w:before="120"/>
        <w:ind w:left="690" w:hanging="240"/>
        <w:rPr>
          <w:rFonts w:ascii="等线" w:eastAsia="等线" w:hAnsi="Times New Roman"/>
          <w:color w:val="000000"/>
        </w:rPr>
      </w:pPr>
      <w:r w:rsidRPr="00E7571F">
        <w:rPr>
          <w:rFonts w:ascii="等线" w:eastAsia="等线" w:hAnsi="Times New Roman"/>
          <w:color w:val="000000"/>
        </w:rPr>
        <w:t>Represented Chevron in its China related transactions, including acquisitions, licensing and disposals</w:t>
      </w:r>
    </w:p>
    <w:p w14:paraId="172B9FA7" w14:textId="77777777" w:rsidR="00E7571F" w:rsidRDefault="00E7571F" w:rsidP="00E7571F">
      <w:pPr>
        <w:pStyle w:val="af5"/>
        <w:numPr>
          <w:ilvl w:val="0"/>
          <w:numId w:val="24"/>
        </w:numPr>
        <w:spacing w:before="120"/>
        <w:ind w:left="690" w:hanging="240"/>
        <w:rPr>
          <w:rFonts w:ascii="等线" w:eastAsia="等线" w:hAnsi="Times New Roman"/>
          <w:color w:val="000000"/>
        </w:rPr>
      </w:pPr>
      <w:r w:rsidRPr="00E7571F">
        <w:rPr>
          <w:rFonts w:ascii="等线" w:eastAsia="等线" w:hAnsi="Times New Roman"/>
          <w:color w:val="000000"/>
        </w:rPr>
        <w:t>Represented Cognex Corporation (NASDAQ: CGNX) on its acquisition of Moritex Corporation, a leading global provider of optics components headquartered in Japan, from CITIC Capital</w:t>
      </w:r>
    </w:p>
    <w:p w14:paraId="00E31CE7" w14:textId="77777777" w:rsidR="00E7571F" w:rsidRDefault="00E7571F" w:rsidP="00E7571F">
      <w:pPr>
        <w:pStyle w:val="af5"/>
        <w:numPr>
          <w:ilvl w:val="0"/>
          <w:numId w:val="25"/>
        </w:numPr>
        <w:spacing w:before="120"/>
        <w:ind w:left="690" w:hanging="240"/>
        <w:rPr>
          <w:rFonts w:ascii="等线" w:eastAsia="等线" w:hAnsi="Times New Roman"/>
          <w:color w:val="000000"/>
        </w:rPr>
      </w:pPr>
      <w:r w:rsidRPr="00E7571F">
        <w:rPr>
          <w:rFonts w:ascii="等线" w:eastAsia="等线" w:hAnsi="Times New Roman"/>
          <w:color w:val="000000"/>
        </w:rPr>
        <w:t>Represented Lufthansa in its various joint venture projects in China</w:t>
      </w:r>
    </w:p>
    <w:p w14:paraId="4840832A" w14:textId="77777777" w:rsidR="00E7571F" w:rsidRDefault="00E7571F" w:rsidP="00E7571F">
      <w:pPr>
        <w:pStyle w:val="af5"/>
        <w:numPr>
          <w:ilvl w:val="0"/>
          <w:numId w:val="26"/>
        </w:numPr>
        <w:spacing w:before="120"/>
        <w:ind w:left="690" w:hanging="240"/>
        <w:rPr>
          <w:rFonts w:ascii="等线" w:eastAsia="等线" w:hAnsi="Times New Roman"/>
          <w:color w:val="000000"/>
        </w:rPr>
      </w:pPr>
      <w:r w:rsidRPr="00E7571F">
        <w:rPr>
          <w:rFonts w:ascii="等线" w:eastAsia="等线" w:hAnsi="Times New Roman"/>
          <w:color w:val="000000"/>
        </w:rPr>
        <w:t>Represented Knorr-Bremse in its various investments and joint ventures in China</w:t>
      </w:r>
    </w:p>
    <w:p w14:paraId="33590407" w14:textId="77777777" w:rsidR="00E7571F" w:rsidRDefault="00E7571F" w:rsidP="00E7571F">
      <w:pPr>
        <w:pStyle w:val="af5"/>
        <w:numPr>
          <w:ilvl w:val="0"/>
          <w:numId w:val="27"/>
        </w:numPr>
        <w:spacing w:before="120"/>
        <w:ind w:left="690" w:hanging="240"/>
        <w:rPr>
          <w:rFonts w:ascii="等线" w:eastAsia="等线" w:hAnsi="Times New Roman"/>
          <w:color w:val="000000"/>
        </w:rPr>
      </w:pPr>
      <w:r w:rsidRPr="00E7571F">
        <w:rPr>
          <w:rFonts w:ascii="等线" w:eastAsia="等线" w:hAnsi="Times New Roman"/>
          <w:color w:val="000000"/>
        </w:rPr>
        <w:t>Represented Brookfield in the acquisition of wind farms in China</w:t>
      </w:r>
    </w:p>
    <w:p w14:paraId="4401FA45" w14:textId="77777777" w:rsidR="00E7571F" w:rsidRDefault="00E7571F" w:rsidP="00E7571F">
      <w:pPr>
        <w:pStyle w:val="af5"/>
        <w:numPr>
          <w:ilvl w:val="0"/>
          <w:numId w:val="28"/>
        </w:numPr>
        <w:spacing w:before="120"/>
        <w:ind w:left="690" w:hanging="240"/>
        <w:rPr>
          <w:rFonts w:ascii="等线" w:eastAsia="等线" w:hAnsi="Times New Roman"/>
          <w:color w:val="000000"/>
        </w:rPr>
      </w:pPr>
      <w:r w:rsidRPr="00E7571F">
        <w:rPr>
          <w:rFonts w:ascii="等线" w:eastAsia="等线" w:hAnsi="Times New Roman"/>
          <w:color w:val="000000"/>
        </w:rPr>
        <w:t>Represented Melrose Industries PLC in various business disposals in China</w:t>
      </w:r>
    </w:p>
    <w:p w14:paraId="31643495" w14:textId="77777777" w:rsidR="00E7571F" w:rsidRDefault="00E7571F" w:rsidP="00E7571F">
      <w:pPr>
        <w:pStyle w:val="af5"/>
        <w:numPr>
          <w:ilvl w:val="0"/>
          <w:numId w:val="29"/>
        </w:numPr>
        <w:spacing w:before="120"/>
        <w:ind w:left="690" w:hanging="240"/>
        <w:rPr>
          <w:rFonts w:ascii="等线" w:eastAsia="等线" w:hAnsi="Times New Roman"/>
          <w:color w:val="000000"/>
        </w:rPr>
      </w:pPr>
      <w:r w:rsidRPr="00E7571F">
        <w:rPr>
          <w:rFonts w:ascii="等线" w:eastAsia="等线" w:hAnsi="Times New Roman"/>
          <w:color w:val="000000"/>
        </w:rPr>
        <w:t>Represented Swire Healthcare, a subsidiary of Swire Pacific (HKSE: 00019), in most of its investments in China</w:t>
      </w:r>
    </w:p>
    <w:p w14:paraId="0D2DCB1A" w14:textId="77777777" w:rsidR="00E7571F" w:rsidRDefault="00E7571F" w:rsidP="00E7571F">
      <w:pPr>
        <w:pStyle w:val="af5"/>
        <w:numPr>
          <w:ilvl w:val="0"/>
          <w:numId w:val="30"/>
        </w:numPr>
        <w:spacing w:before="120"/>
        <w:ind w:left="690" w:hanging="240"/>
        <w:rPr>
          <w:rFonts w:ascii="等线" w:eastAsia="等线" w:hAnsi="Times New Roman"/>
          <w:color w:val="000000"/>
        </w:rPr>
      </w:pPr>
      <w:r w:rsidRPr="00E7571F">
        <w:rPr>
          <w:rFonts w:ascii="等线" w:eastAsia="等线" w:hAnsi="Times New Roman"/>
          <w:color w:val="000000"/>
        </w:rPr>
        <w:t>Represented Aupu Group (HKSE: 00477) in its delisting from the Hong Kong Stock Exchange, subsequent investments by various PE firms and as issuer</w:t>
      </w:r>
      <w:r w:rsidRPr="00E7571F">
        <w:rPr>
          <w:rFonts w:ascii="等线" w:eastAsia="等线" w:hAnsi="Times New Roman"/>
          <w:color w:val="000000"/>
        </w:rPr>
        <w:t>’</w:t>
      </w:r>
      <w:r w:rsidRPr="00E7571F">
        <w:rPr>
          <w:rFonts w:ascii="等线" w:eastAsia="等线" w:hAnsi="Times New Roman"/>
          <w:color w:val="000000"/>
        </w:rPr>
        <w:t>s counsel for its listing on the A share stock exchange (603551)</w:t>
      </w:r>
    </w:p>
    <w:p w14:paraId="22EB468A" w14:textId="77777777" w:rsidR="00E7571F" w:rsidRDefault="00E7571F" w:rsidP="00E7571F">
      <w:pPr>
        <w:pStyle w:val="af5"/>
        <w:numPr>
          <w:ilvl w:val="0"/>
          <w:numId w:val="31"/>
        </w:numPr>
        <w:spacing w:before="120"/>
        <w:ind w:left="690" w:hanging="240"/>
        <w:rPr>
          <w:rFonts w:ascii="等线" w:eastAsia="等线" w:hAnsi="Times New Roman"/>
          <w:color w:val="000000"/>
        </w:rPr>
      </w:pPr>
      <w:r w:rsidRPr="00E7571F">
        <w:rPr>
          <w:rFonts w:ascii="等线" w:eastAsia="等线" w:hAnsi="Times New Roman"/>
          <w:color w:val="000000"/>
        </w:rPr>
        <w:t>Represented Danaher Corporation in its acquisition of majority joint venture interests in Pall-Austar Lifesciences Limited from Austar, its disposal of certain water product line, its acquisition of Tianjin Bonna-Agela Technologies Co., Ltd. and its various other acquisitions and sales in China</w:t>
      </w:r>
    </w:p>
    <w:p w14:paraId="49473FE8" w14:textId="77777777" w:rsidR="00E7571F" w:rsidRDefault="00E7571F" w:rsidP="00E7571F">
      <w:pPr>
        <w:pStyle w:val="af5"/>
        <w:numPr>
          <w:ilvl w:val="0"/>
          <w:numId w:val="32"/>
        </w:numPr>
        <w:spacing w:before="120"/>
        <w:ind w:left="690" w:hanging="240"/>
        <w:rPr>
          <w:rFonts w:ascii="等线" w:eastAsia="等线" w:hAnsi="Times New Roman"/>
          <w:color w:val="000000"/>
        </w:rPr>
      </w:pPr>
      <w:r w:rsidRPr="00E7571F">
        <w:rPr>
          <w:rFonts w:ascii="等线" w:eastAsia="等线" w:hAnsi="Times New Roman"/>
          <w:color w:val="000000"/>
        </w:rPr>
        <w:t>Represented PSA in connection with its various joint-venture auto manufacture business in China, including a potential alliance with a leading PRC auto manufacturer; Represented PSA in connection with the PRC aspects of its global merger with FCA</w:t>
      </w:r>
    </w:p>
    <w:p w14:paraId="6E0BFD15" w14:textId="77777777" w:rsidR="00E7571F" w:rsidRDefault="00E7571F" w:rsidP="00E7571F">
      <w:pPr>
        <w:pStyle w:val="af5"/>
        <w:numPr>
          <w:ilvl w:val="0"/>
          <w:numId w:val="33"/>
        </w:numPr>
        <w:spacing w:before="120"/>
        <w:ind w:left="690" w:hanging="240"/>
        <w:rPr>
          <w:rFonts w:ascii="等线" w:eastAsia="等线" w:hAnsi="Times New Roman"/>
          <w:color w:val="000000"/>
        </w:rPr>
      </w:pPr>
      <w:r w:rsidRPr="00E7571F">
        <w:rPr>
          <w:rFonts w:ascii="等线" w:eastAsia="等线" w:hAnsi="Times New Roman"/>
          <w:color w:val="000000"/>
        </w:rPr>
        <w:t>Represented SK Innovation in its car battery joint venture with Beijing Automotive Group and Beijing Electronics</w:t>
      </w:r>
    </w:p>
    <w:p w14:paraId="722034EE" w14:textId="77777777" w:rsidR="00E7571F" w:rsidRDefault="00E7571F" w:rsidP="00E7571F">
      <w:pPr>
        <w:pStyle w:val="af5"/>
        <w:numPr>
          <w:ilvl w:val="0"/>
          <w:numId w:val="34"/>
        </w:numPr>
        <w:spacing w:before="120"/>
        <w:ind w:left="690" w:hanging="240"/>
        <w:rPr>
          <w:rFonts w:ascii="等线" w:eastAsia="等线" w:hAnsi="Times New Roman"/>
          <w:color w:val="000000"/>
        </w:rPr>
      </w:pPr>
      <w:r w:rsidRPr="00E7571F">
        <w:rPr>
          <w:rFonts w:ascii="等线" w:eastAsia="等线" w:hAnsi="Times New Roman"/>
          <w:color w:val="000000"/>
        </w:rPr>
        <w:t>Represented D</w:t>
      </w:r>
      <w:r w:rsidRPr="00E7571F">
        <w:rPr>
          <w:rFonts w:ascii="等线" w:eastAsia="等线" w:hAnsi="Times New Roman"/>
          <w:color w:val="000000"/>
        </w:rPr>
        <w:t>ü</w:t>
      </w:r>
      <w:r w:rsidRPr="00E7571F">
        <w:rPr>
          <w:rFonts w:ascii="等线" w:eastAsia="等线" w:hAnsi="Times New Roman"/>
          <w:color w:val="000000"/>
        </w:rPr>
        <w:t>rrAG in selling 85% of the shares in the D</w:t>
      </w:r>
      <w:r w:rsidRPr="00E7571F">
        <w:rPr>
          <w:rFonts w:ascii="等线" w:eastAsia="等线" w:hAnsi="Times New Roman"/>
          <w:color w:val="000000"/>
        </w:rPr>
        <w:t>ü</w:t>
      </w:r>
      <w:r w:rsidRPr="00E7571F">
        <w:rPr>
          <w:rFonts w:ascii="等线" w:eastAsia="等线" w:hAnsi="Times New Roman"/>
          <w:color w:val="000000"/>
        </w:rPr>
        <w:t>rr Ecoclean Group to Shenyang Blue Silver Group (300293) in a material asset reorganization of SBS</w:t>
      </w:r>
    </w:p>
    <w:p w14:paraId="4F2C1FC1" w14:textId="77777777" w:rsidR="00E7571F" w:rsidRDefault="00E7571F" w:rsidP="00E7571F">
      <w:pPr>
        <w:pStyle w:val="af5"/>
        <w:numPr>
          <w:ilvl w:val="0"/>
          <w:numId w:val="35"/>
        </w:numPr>
        <w:spacing w:before="120"/>
        <w:ind w:left="690" w:hanging="240"/>
        <w:rPr>
          <w:rFonts w:ascii="等线" w:eastAsia="等线" w:hAnsi="Times New Roman"/>
          <w:color w:val="000000"/>
        </w:rPr>
      </w:pPr>
      <w:r w:rsidRPr="00E7571F">
        <w:rPr>
          <w:rFonts w:ascii="等线" w:eastAsia="等线" w:hAnsi="Times New Roman"/>
          <w:color w:val="000000"/>
        </w:rPr>
        <w:t>Represented Catalent Pharma Solutions, in Catalent</w:t>
      </w:r>
      <w:r w:rsidRPr="00E7571F">
        <w:rPr>
          <w:rFonts w:ascii="等线" w:eastAsia="等线" w:hAnsi="Times New Roman"/>
          <w:color w:val="000000"/>
        </w:rPr>
        <w:t>’</w:t>
      </w:r>
      <w:r w:rsidRPr="00E7571F">
        <w:rPr>
          <w:rFonts w:ascii="等线" w:eastAsia="等线" w:hAnsi="Times New Roman"/>
          <w:color w:val="000000"/>
        </w:rPr>
        <w:t>s acquisition of Zhejiang JYT Biotechnology Ltd.; the subsequent strategic reorganization; represented Catalent in its sale of JYT to Aland Nutrition Holding</w:t>
      </w:r>
    </w:p>
    <w:p w14:paraId="20DE4028" w14:textId="77777777" w:rsidR="00E7571F" w:rsidRDefault="00E7571F" w:rsidP="00E7571F">
      <w:pPr>
        <w:pStyle w:val="af5"/>
        <w:numPr>
          <w:ilvl w:val="0"/>
          <w:numId w:val="36"/>
        </w:numPr>
        <w:spacing w:before="120"/>
        <w:ind w:left="690" w:hanging="240"/>
        <w:rPr>
          <w:rFonts w:ascii="等线" w:eastAsia="等线" w:hAnsi="Times New Roman"/>
          <w:color w:val="000000"/>
        </w:rPr>
      </w:pPr>
      <w:r w:rsidRPr="00E7571F">
        <w:rPr>
          <w:rFonts w:ascii="等线" w:eastAsia="等线" w:hAnsi="Times New Roman"/>
          <w:color w:val="000000"/>
        </w:rPr>
        <w:t>Represented GE Power &amp; Water in (i) the China aspect of its acquisition of Alstom</w:t>
      </w:r>
      <w:r w:rsidRPr="00E7571F">
        <w:rPr>
          <w:rFonts w:ascii="等线" w:eastAsia="等线" w:hAnsi="Times New Roman"/>
          <w:color w:val="000000"/>
        </w:rPr>
        <w:t>’</w:t>
      </w:r>
      <w:r w:rsidRPr="00E7571F">
        <w:rPr>
          <w:rFonts w:ascii="等线" w:eastAsia="等线" w:hAnsi="Times New Roman"/>
          <w:color w:val="000000"/>
        </w:rPr>
        <w:t>s energy business for an estimated USD17 billion, including its mandatory tender offer obligation related to WBC, an B share company listed in the Shenzhen Stock Exchange, (ii) its RMB3,383 million strategic investment in China XD Electric Co., Ltd., one of the first investments in a Chinese listed company by a Fortune 500 company, joint venture with XD and global commercial co-operations</w:t>
      </w:r>
    </w:p>
    <w:p w14:paraId="3F1C576B" w14:textId="77777777" w:rsidR="00E7571F" w:rsidRDefault="00E7571F" w:rsidP="00E7571F">
      <w:pPr>
        <w:pStyle w:val="af5"/>
        <w:numPr>
          <w:ilvl w:val="0"/>
          <w:numId w:val="37"/>
        </w:numPr>
        <w:spacing w:before="120"/>
        <w:ind w:left="690" w:hanging="240"/>
        <w:rPr>
          <w:rFonts w:ascii="等线" w:eastAsia="等线" w:hAnsi="Times New Roman"/>
          <w:color w:val="000000"/>
        </w:rPr>
      </w:pPr>
      <w:r w:rsidRPr="00E7571F">
        <w:rPr>
          <w:rFonts w:ascii="等线" w:eastAsia="等线" w:hAnsi="Times New Roman"/>
          <w:color w:val="000000"/>
        </w:rPr>
        <w:t>Represented Swire Beverage, a subsidiary of Swire Pacific (HKSE: 00019), in its acquisition of equity interests in the bottling operations from Coca-Cola and COFCO Coca-Cola; Represented Swire in its minority investments</w:t>
      </w:r>
    </w:p>
    <w:p w14:paraId="72AF3E9B" w14:textId="77777777" w:rsidR="00E7571F" w:rsidRDefault="00E7571F" w:rsidP="00E7571F">
      <w:pPr>
        <w:pStyle w:val="af5"/>
        <w:numPr>
          <w:ilvl w:val="0"/>
          <w:numId w:val="38"/>
        </w:numPr>
        <w:spacing w:before="120"/>
        <w:ind w:left="690" w:hanging="240"/>
        <w:rPr>
          <w:rFonts w:ascii="等线" w:eastAsia="等线" w:hAnsi="Times New Roman"/>
          <w:color w:val="000000"/>
        </w:rPr>
      </w:pPr>
      <w:r w:rsidRPr="00E7571F">
        <w:rPr>
          <w:rFonts w:ascii="等线" w:eastAsia="等线" w:hAnsi="Times New Roman"/>
          <w:color w:val="000000"/>
        </w:rPr>
        <w:t xml:space="preserve">Represented Jin Jiang International in acquisitions of Groupe du Louvre from Starwood Capital for more than </w:t>
      </w:r>
      <w:r w:rsidRPr="00E7571F">
        <w:rPr>
          <w:rFonts w:ascii="等线" w:eastAsia="等线" w:hAnsi="Times New Roman"/>
          <w:color w:val="000000"/>
        </w:rPr>
        <w:t>€</w:t>
      </w:r>
      <w:r w:rsidRPr="00E7571F">
        <w:rPr>
          <w:rFonts w:ascii="等线" w:eastAsia="等线" w:hAnsi="Times New Roman"/>
          <w:color w:val="000000"/>
        </w:rPr>
        <w:t>1.2 billion; Represented Jin Jiang in an aborted acquisition in the global hospitality industry</w:t>
      </w:r>
    </w:p>
    <w:p w14:paraId="329A6CC3" w14:textId="77777777" w:rsidR="00E7571F" w:rsidRDefault="00E7571F" w:rsidP="00E7571F">
      <w:pPr>
        <w:pStyle w:val="af5"/>
        <w:numPr>
          <w:ilvl w:val="0"/>
          <w:numId w:val="39"/>
        </w:numPr>
        <w:spacing w:before="120"/>
        <w:ind w:left="690" w:hanging="240"/>
        <w:rPr>
          <w:rFonts w:ascii="等线" w:eastAsia="等线" w:hAnsi="Times New Roman"/>
          <w:color w:val="000000"/>
        </w:rPr>
      </w:pPr>
      <w:r w:rsidRPr="00E7571F">
        <w:rPr>
          <w:rFonts w:ascii="等线" w:eastAsia="等线" w:hAnsi="Times New Roman"/>
          <w:color w:val="000000"/>
        </w:rPr>
        <w:t>Represented China Resources Enterprise in its acquisition of Tesco</w:t>
      </w:r>
      <w:r w:rsidRPr="00E7571F">
        <w:rPr>
          <w:rFonts w:ascii="等线" w:eastAsia="等线" w:hAnsi="Times New Roman"/>
          <w:color w:val="000000"/>
        </w:rPr>
        <w:t>’</w:t>
      </w:r>
      <w:r w:rsidRPr="00E7571F">
        <w:rPr>
          <w:rFonts w:ascii="等线" w:eastAsia="等线" w:hAnsi="Times New Roman"/>
          <w:color w:val="000000"/>
        </w:rPr>
        <w:t>s China business and the subsequent USD16.2 billion joint venture with Tesco, the largest Sino-foreign joint venture in the China retail sector at the time</w:t>
      </w:r>
    </w:p>
    <w:p w14:paraId="35B27ED6" w14:textId="77777777" w:rsidR="00E7571F" w:rsidRDefault="00E7571F" w:rsidP="00E7571F">
      <w:pPr>
        <w:pStyle w:val="af5"/>
        <w:numPr>
          <w:ilvl w:val="0"/>
          <w:numId w:val="40"/>
        </w:numPr>
        <w:spacing w:before="120"/>
        <w:ind w:left="690" w:hanging="240"/>
        <w:rPr>
          <w:rFonts w:ascii="等线" w:eastAsia="等线" w:hAnsi="Times New Roman"/>
          <w:color w:val="000000"/>
        </w:rPr>
      </w:pPr>
      <w:r w:rsidRPr="00E7571F">
        <w:rPr>
          <w:rFonts w:ascii="等线" w:eastAsia="等线" w:hAnsi="Times New Roman"/>
          <w:color w:val="000000"/>
        </w:rPr>
        <w:t>Represented Siemens related to its wind power-related joint ventures with Shanghai Electric</w:t>
      </w:r>
    </w:p>
    <w:p w14:paraId="06E23E94" w14:textId="77777777" w:rsidR="00E7571F" w:rsidRDefault="00E7571F" w:rsidP="00E7571F">
      <w:pPr>
        <w:pStyle w:val="af5"/>
        <w:numPr>
          <w:ilvl w:val="0"/>
          <w:numId w:val="41"/>
        </w:numPr>
        <w:spacing w:before="120"/>
        <w:ind w:left="690" w:hanging="240"/>
        <w:rPr>
          <w:rFonts w:ascii="等线" w:eastAsia="等线" w:hAnsi="Times New Roman"/>
          <w:color w:val="000000"/>
        </w:rPr>
      </w:pPr>
      <w:r w:rsidRPr="00E7571F">
        <w:rPr>
          <w:rFonts w:ascii="等线" w:eastAsia="等线" w:hAnsi="Times New Roman"/>
          <w:color w:val="000000"/>
        </w:rPr>
        <w:t>Represented Cargotec in its joint venture with Jiangsu Rainbow Heavy Industries Co., Ltd. in Jiangsu; Cargotec (Hiab unit) in its truck crane joint venture with Sinotruk Group</w:t>
      </w:r>
    </w:p>
    <w:p w14:paraId="0C2408BC" w14:textId="77777777" w:rsidR="00E7571F" w:rsidRDefault="00E7571F" w:rsidP="00E7571F">
      <w:pPr>
        <w:pStyle w:val="af5"/>
        <w:numPr>
          <w:ilvl w:val="0"/>
          <w:numId w:val="42"/>
        </w:numPr>
        <w:spacing w:before="120"/>
        <w:ind w:left="690" w:hanging="240"/>
        <w:rPr>
          <w:rFonts w:ascii="等线" w:eastAsia="等线" w:hAnsi="Times New Roman"/>
          <w:color w:val="000000"/>
        </w:rPr>
      </w:pPr>
      <w:r w:rsidRPr="00E7571F">
        <w:rPr>
          <w:rFonts w:ascii="等线" w:eastAsia="等线" w:hAnsi="Times New Roman"/>
          <w:color w:val="000000"/>
        </w:rPr>
        <w:t>Represented China Export Bank, JPMorgan, Hainan Airlines, Siemens and other sponsors in the formation of the first Sino-foreign joint venture credit guarantee company with a registered capital of approximately RMB5.1 billion; and</w:t>
      </w:r>
    </w:p>
    <w:p w14:paraId="1185BD99" w14:textId="77777777" w:rsidR="00E7571F" w:rsidRDefault="00E7571F" w:rsidP="00E7571F">
      <w:pPr>
        <w:pStyle w:val="af5"/>
        <w:numPr>
          <w:ilvl w:val="0"/>
          <w:numId w:val="43"/>
        </w:numPr>
        <w:spacing w:before="120"/>
        <w:ind w:left="690" w:hanging="240"/>
        <w:rPr>
          <w:rFonts w:ascii="等线" w:eastAsia="等线" w:hAnsi="Times New Roman"/>
          <w:color w:val="000000"/>
        </w:rPr>
      </w:pPr>
      <w:r w:rsidRPr="00E7571F">
        <w:rPr>
          <w:rFonts w:ascii="等线" w:eastAsia="等线" w:hAnsi="Times New Roman"/>
          <w:color w:val="000000"/>
        </w:rPr>
        <w:t xml:space="preserve">Represented Philips (Lighting) in a strategic joint venture project with Shenzhen SED Industry Co Ltd.; Represented Philips (Consumer Lifestyle) in its acquisition of Povos Electric Appliance   </w:t>
      </w:r>
      <w:r w:rsidRPr="00E7571F">
        <w:rPr>
          <w:rFonts w:ascii="等线" w:eastAsia="等线" w:hAnsi="Times New Roman"/>
          <w:color w:val="000000"/>
        </w:rPr>
        <w:t> </w:t>
      </w:r>
      <w:r w:rsidRPr="00E7571F">
        <w:rPr>
          <w:rFonts w:ascii="等线" w:eastAsia="等线" w:hAnsi="Times New Roman"/>
          <w:color w:val="000000"/>
        </w:rPr>
        <w:t>Other industry clients include Ahlstrom, GE Aviation, GE Oil &amp; Gas, Greiner, L</w:t>
      </w:r>
      <w:r w:rsidRPr="00E7571F">
        <w:rPr>
          <w:rFonts w:ascii="等线" w:eastAsia="等线" w:hAnsi="Times New Roman"/>
          <w:color w:val="000000"/>
        </w:rPr>
        <w:t>’</w:t>
      </w:r>
      <w:r w:rsidRPr="00E7571F">
        <w:rPr>
          <w:rFonts w:ascii="等线" w:eastAsia="等线" w:hAnsi="Times New Roman"/>
          <w:color w:val="000000"/>
        </w:rPr>
        <w:t>Oreal, Ningbo Shuanglin, SK Global Chemical, Visa, Inc., and Yili Group.</w:t>
      </w:r>
    </w:p>
    <w:p w14:paraId="5AAC9717" w14:textId="77777777" w:rsidR="00E7571F" w:rsidRDefault="00E7571F" w:rsidP="00E7571F">
      <w:pPr>
        <w:pStyle w:val="af5"/>
        <w:spacing w:before="120"/>
        <w:rPr>
          <w:rFonts w:ascii="等线" w:eastAsia="等线" w:hAnsi="Times New Roman"/>
          <w:color w:val="000000"/>
        </w:rPr>
      </w:pPr>
      <w:r w:rsidRPr="00E7571F">
        <w:rPr>
          <w:rFonts w:ascii="等线" w:eastAsia="等线" w:hAnsi="Times New Roman"/>
          <w:color w:val="000000"/>
        </w:rPr>
        <w:t xml:space="preserve"> Private Equity Acquisitions, Investments &amp; Exits in China</w:t>
      </w:r>
    </w:p>
    <w:p w14:paraId="4F307E73" w14:textId="77777777" w:rsidR="00E7571F" w:rsidRDefault="00E7571F" w:rsidP="00E7571F">
      <w:pPr>
        <w:pStyle w:val="af5"/>
        <w:numPr>
          <w:ilvl w:val="0"/>
          <w:numId w:val="44"/>
        </w:numPr>
        <w:spacing w:before="120"/>
        <w:ind w:left="690" w:hanging="240"/>
        <w:rPr>
          <w:rFonts w:ascii="等线" w:eastAsia="等线" w:hAnsi="Times New Roman"/>
          <w:color w:val="000000"/>
        </w:rPr>
      </w:pPr>
      <w:r w:rsidRPr="00E7571F">
        <w:rPr>
          <w:rFonts w:ascii="等线" w:eastAsia="等线" w:hAnsi="Times New Roman"/>
          <w:color w:val="000000"/>
        </w:rPr>
        <w:t>Represented Hillhouse Capital in (i) numerous control transactions and bolt-on acquisitions (a medical device group engaging in the manufacture and sale of OK lenses, Lock Lomond, Burton), and (ii) various investments in the education (Gaodun), consumer (Jiangxiaobai), pharmaceutical (Just Biotherapeutics, Elpiscience, DAC Biotech), logistics, e-commerce, office sharing (Mydreamplus) sectors</w:t>
      </w:r>
    </w:p>
    <w:p w14:paraId="63C676CB" w14:textId="77777777" w:rsidR="00E7571F" w:rsidRDefault="00E7571F" w:rsidP="00E7571F">
      <w:pPr>
        <w:pStyle w:val="af5"/>
        <w:numPr>
          <w:ilvl w:val="0"/>
          <w:numId w:val="45"/>
        </w:numPr>
        <w:spacing w:before="120"/>
        <w:ind w:left="690" w:hanging="240"/>
        <w:rPr>
          <w:rFonts w:ascii="等线" w:eastAsia="等线" w:hAnsi="Times New Roman"/>
          <w:color w:val="000000"/>
        </w:rPr>
      </w:pPr>
      <w:r w:rsidRPr="00E7571F">
        <w:rPr>
          <w:rFonts w:ascii="等线" w:eastAsia="等线" w:hAnsi="Times New Roman"/>
          <w:color w:val="000000"/>
        </w:rPr>
        <w:t>Represented NewQuest Capital Partners in various secondary acquisitions in China, including acquisition of portfolio from Blue Ridge Capital, Kidswant and matters related to its portfolio companies (e.g., United Water)</w:t>
      </w:r>
    </w:p>
    <w:p w14:paraId="09372B9B" w14:textId="77777777" w:rsidR="00E7571F" w:rsidRDefault="00E7571F" w:rsidP="00E7571F">
      <w:pPr>
        <w:pStyle w:val="af5"/>
        <w:numPr>
          <w:ilvl w:val="0"/>
          <w:numId w:val="46"/>
        </w:numPr>
        <w:spacing w:before="120"/>
        <w:ind w:left="690" w:hanging="240"/>
        <w:rPr>
          <w:rFonts w:ascii="等线" w:eastAsia="等线" w:hAnsi="Times New Roman"/>
          <w:color w:val="000000"/>
        </w:rPr>
      </w:pPr>
      <w:r w:rsidRPr="00E7571F">
        <w:rPr>
          <w:rFonts w:ascii="等线" w:eastAsia="等线" w:hAnsi="Times New Roman"/>
          <w:color w:val="000000"/>
        </w:rPr>
        <w:t>Represented Goldman Sachs in its investment in Fourth Paradigm Technology, various exits including from Qianhe Condiment and Food (603027), from Kouzi Liquor (603589) and its exits in the healthcare sector, investment in Songhe Liquor, its approximately USD960 million strategic investment in Taikang Life Insurance Company and more than USD1 billion sale of Taikang shares to Allianz</w:t>
      </w:r>
    </w:p>
    <w:p w14:paraId="7E169D33" w14:textId="77777777" w:rsidR="00E7571F" w:rsidRDefault="00E7571F" w:rsidP="00E7571F">
      <w:pPr>
        <w:pStyle w:val="af5"/>
        <w:numPr>
          <w:ilvl w:val="0"/>
          <w:numId w:val="47"/>
        </w:numPr>
        <w:spacing w:before="120"/>
        <w:ind w:left="690" w:hanging="240"/>
        <w:rPr>
          <w:rFonts w:ascii="等线" w:eastAsia="等线" w:hAnsi="Times New Roman"/>
          <w:color w:val="000000"/>
        </w:rPr>
      </w:pPr>
      <w:r w:rsidRPr="00E7571F">
        <w:rPr>
          <w:rFonts w:ascii="等线" w:eastAsia="等线" w:hAnsi="Times New Roman"/>
          <w:color w:val="000000"/>
        </w:rPr>
        <w:t>Represented a consortium of investors led by Standard Chartered Private Equity in (i) the leveraged buyout of Siyanli for more than USD200 million and related acquisition financing, (ii) their aborted trade sale to CHJ Jewelry, an A share listed company; (iii) trade sale to MBK Partners</w:t>
      </w:r>
    </w:p>
    <w:p w14:paraId="2C98A347" w14:textId="77777777" w:rsidR="00E7571F" w:rsidRDefault="00E7571F" w:rsidP="00E7571F">
      <w:pPr>
        <w:pStyle w:val="af5"/>
        <w:numPr>
          <w:ilvl w:val="0"/>
          <w:numId w:val="48"/>
        </w:numPr>
        <w:spacing w:before="120"/>
        <w:ind w:left="690" w:hanging="240"/>
        <w:rPr>
          <w:rFonts w:ascii="等线" w:eastAsia="等线" w:hAnsi="Times New Roman"/>
          <w:color w:val="000000"/>
        </w:rPr>
      </w:pPr>
      <w:r w:rsidRPr="00E7571F">
        <w:rPr>
          <w:rFonts w:ascii="等线" w:eastAsia="等线" w:hAnsi="Times New Roman"/>
          <w:color w:val="000000"/>
        </w:rPr>
        <w:t>Represented MBK Partners and Siyanli (one of its a portfolio) with respect to its various acquisition transactions in China</w:t>
      </w:r>
    </w:p>
    <w:p w14:paraId="27E5F228" w14:textId="77777777" w:rsidR="00E7571F" w:rsidRDefault="00E7571F" w:rsidP="00E7571F">
      <w:pPr>
        <w:pStyle w:val="af5"/>
        <w:numPr>
          <w:ilvl w:val="0"/>
          <w:numId w:val="49"/>
        </w:numPr>
        <w:spacing w:before="120"/>
        <w:ind w:left="690" w:hanging="240"/>
        <w:rPr>
          <w:rFonts w:ascii="等线" w:eastAsia="等线" w:hAnsi="Times New Roman"/>
          <w:color w:val="000000"/>
        </w:rPr>
      </w:pPr>
      <w:r w:rsidRPr="00E7571F">
        <w:rPr>
          <w:rFonts w:ascii="等线" w:eastAsia="等线" w:hAnsi="Times New Roman"/>
          <w:color w:val="000000"/>
        </w:rPr>
        <w:t>Represented an investor consortium led by China Life Private Equity in Shanghai United Imaging Healthcare; Represented China Life private equity in various funds and downstream direct investments (with a focus in health care sectors)</w:t>
      </w:r>
    </w:p>
    <w:p w14:paraId="784A0B5D" w14:textId="77777777" w:rsidR="00E7571F" w:rsidRDefault="00E7571F" w:rsidP="00E7571F">
      <w:pPr>
        <w:pStyle w:val="af5"/>
        <w:numPr>
          <w:ilvl w:val="0"/>
          <w:numId w:val="50"/>
        </w:numPr>
        <w:spacing w:before="120"/>
        <w:ind w:left="690" w:hanging="240"/>
        <w:rPr>
          <w:rFonts w:ascii="等线" w:eastAsia="等线" w:hAnsi="Times New Roman"/>
          <w:color w:val="000000"/>
        </w:rPr>
      </w:pPr>
      <w:r w:rsidRPr="00E7571F">
        <w:rPr>
          <w:rFonts w:ascii="等线" w:eastAsia="等线" w:hAnsi="Times New Roman"/>
          <w:color w:val="000000"/>
        </w:rPr>
        <w:t>Representing LTW Capital in its going private transaction of Qihoo 360 and iKang Healthcare</w:t>
      </w:r>
    </w:p>
    <w:p w14:paraId="2ED65528" w14:textId="77777777" w:rsidR="00E7571F" w:rsidRDefault="00E7571F" w:rsidP="00E7571F">
      <w:pPr>
        <w:pStyle w:val="af5"/>
        <w:numPr>
          <w:ilvl w:val="0"/>
          <w:numId w:val="51"/>
        </w:numPr>
        <w:spacing w:before="120"/>
        <w:ind w:left="690" w:hanging="240"/>
        <w:rPr>
          <w:rFonts w:ascii="等线" w:eastAsia="等线" w:hAnsi="Times New Roman"/>
          <w:color w:val="000000"/>
        </w:rPr>
      </w:pPr>
      <w:r w:rsidRPr="00E7571F">
        <w:rPr>
          <w:rFonts w:ascii="等线" w:eastAsia="等线" w:hAnsi="Times New Roman"/>
          <w:color w:val="000000"/>
        </w:rPr>
        <w:t>Representing FFH in its joint acquisition (with Bank of China) of the village bank portfolio from a major PRC bank, and 15 village banks from China Development Bank; Represented Temasek/FFH in its various joint ventures with Bank of China in the village banking sector, including the formation of BOC Fullerton Community Bank; Represented Temasek in the pre-IPO lead investment (together with Citic PE, Kerry and IDG) in Vancl, the leading Chinese B2C operators, for USD230 million</w:t>
      </w:r>
    </w:p>
    <w:p w14:paraId="1E08CA47" w14:textId="77777777" w:rsidR="00E7571F" w:rsidRDefault="00E7571F" w:rsidP="00E7571F">
      <w:pPr>
        <w:pStyle w:val="af5"/>
        <w:numPr>
          <w:ilvl w:val="0"/>
          <w:numId w:val="52"/>
        </w:numPr>
        <w:spacing w:before="120"/>
        <w:ind w:left="690" w:hanging="240"/>
        <w:rPr>
          <w:rFonts w:ascii="等线" w:eastAsia="等线" w:hAnsi="Times New Roman"/>
          <w:color w:val="000000"/>
        </w:rPr>
      </w:pPr>
      <w:r w:rsidRPr="00E7571F">
        <w:rPr>
          <w:rFonts w:ascii="等线" w:eastAsia="等线" w:hAnsi="Times New Roman"/>
          <w:color w:val="000000"/>
        </w:rPr>
        <w:t xml:space="preserve">Represented the investor consortium including Carlyle, FountainVest and Fosun in the </w:t>
      </w:r>
      <w:r w:rsidRPr="00E7571F">
        <w:rPr>
          <w:rFonts w:ascii="等线" w:eastAsia="等线" w:hAnsi="Times New Roman"/>
          <w:color w:val="000000"/>
        </w:rPr>
        <w:t>“</w:t>
      </w:r>
      <w:r w:rsidRPr="00E7571F">
        <w:rPr>
          <w:rFonts w:ascii="等线" w:eastAsia="等线" w:hAnsi="Times New Roman"/>
          <w:color w:val="000000"/>
        </w:rPr>
        <w:t>going private</w:t>
      </w:r>
      <w:r w:rsidRPr="00E7571F">
        <w:rPr>
          <w:rFonts w:ascii="等线" w:eastAsia="等线" w:hAnsi="Times New Roman"/>
          <w:color w:val="000000"/>
        </w:rPr>
        <w:t>”</w:t>
      </w:r>
      <w:r w:rsidRPr="00E7571F">
        <w:rPr>
          <w:rFonts w:ascii="等线" w:eastAsia="等线" w:hAnsi="Times New Roman"/>
          <w:color w:val="000000"/>
        </w:rPr>
        <w:t xml:space="preserve"> and back-door listing transaction of FocusMedia</w:t>
      </w:r>
    </w:p>
    <w:p w14:paraId="749D7EA8" w14:textId="77777777" w:rsidR="00E7571F" w:rsidRDefault="00E7571F" w:rsidP="00E7571F">
      <w:pPr>
        <w:pStyle w:val="af5"/>
        <w:numPr>
          <w:ilvl w:val="0"/>
          <w:numId w:val="53"/>
        </w:numPr>
        <w:spacing w:before="120"/>
        <w:ind w:left="690" w:hanging="240"/>
        <w:rPr>
          <w:rFonts w:ascii="等线" w:eastAsia="等线" w:hAnsi="Times New Roman"/>
          <w:color w:val="000000"/>
        </w:rPr>
      </w:pPr>
      <w:r w:rsidRPr="00E7571F">
        <w:rPr>
          <w:rFonts w:ascii="等线" w:eastAsia="等线" w:hAnsi="Times New Roman"/>
          <w:color w:val="000000"/>
        </w:rPr>
        <w:t>Represented Boyu Capital in its investment in COFCO Meat, a leading integrated pork company and other investments; Represented Boyu Capital and Standard Chartered Private Equity in their investments in and restructuring of Honeymoon Dessert (Manji)</w:t>
      </w:r>
    </w:p>
    <w:p w14:paraId="6E7931CC" w14:textId="77777777" w:rsidR="00E7571F" w:rsidRDefault="00E7571F" w:rsidP="00E7571F">
      <w:pPr>
        <w:pStyle w:val="af5"/>
        <w:numPr>
          <w:ilvl w:val="0"/>
          <w:numId w:val="54"/>
        </w:numPr>
        <w:spacing w:before="120"/>
        <w:ind w:left="690" w:hanging="240"/>
        <w:rPr>
          <w:rFonts w:ascii="等线" w:eastAsia="等线" w:hAnsi="Times New Roman"/>
          <w:color w:val="000000"/>
        </w:rPr>
      </w:pPr>
      <w:r w:rsidRPr="00E7571F">
        <w:rPr>
          <w:rFonts w:ascii="等线" w:eastAsia="等线" w:hAnsi="Times New Roman"/>
          <w:color w:val="000000"/>
        </w:rPr>
        <w:t>Represented Oriza Capital and its affiliates in a few dozen investments since 2013</w:t>
      </w:r>
    </w:p>
    <w:p w14:paraId="1E74E177" w14:textId="77777777" w:rsidR="00E7571F" w:rsidRDefault="00E7571F" w:rsidP="00E7571F">
      <w:pPr>
        <w:pStyle w:val="af5"/>
        <w:numPr>
          <w:ilvl w:val="0"/>
          <w:numId w:val="55"/>
        </w:numPr>
        <w:spacing w:before="120"/>
        <w:ind w:left="690" w:hanging="240"/>
        <w:rPr>
          <w:rFonts w:ascii="等线" w:eastAsia="等线" w:hAnsi="Times New Roman"/>
          <w:color w:val="000000"/>
        </w:rPr>
      </w:pPr>
      <w:r w:rsidRPr="00E7571F">
        <w:rPr>
          <w:rFonts w:ascii="等线" w:eastAsia="等线" w:hAnsi="Times New Roman"/>
          <w:color w:val="000000"/>
        </w:rPr>
        <w:t>Represented Yunfeng in various investments</w:t>
      </w:r>
    </w:p>
    <w:p w14:paraId="0BD644E6" w14:textId="77777777" w:rsidR="00E7571F" w:rsidRDefault="00E7571F" w:rsidP="00E7571F">
      <w:pPr>
        <w:pStyle w:val="af5"/>
        <w:numPr>
          <w:ilvl w:val="0"/>
          <w:numId w:val="56"/>
        </w:numPr>
        <w:spacing w:before="120"/>
        <w:ind w:left="690" w:hanging="240"/>
        <w:rPr>
          <w:rFonts w:ascii="等线" w:eastAsia="等线" w:hAnsi="Times New Roman"/>
          <w:color w:val="000000"/>
        </w:rPr>
      </w:pPr>
      <w:r w:rsidRPr="00E7571F">
        <w:rPr>
          <w:rFonts w:ascii="等线" w:eastAsia="等线" w:hAnsi="Times New Roman"/>
          <w:color w:val="000000"/>
        </w:rPr>
        <w:t>Represented RongRui Fund, an affiliate of ICBC International, in its RMB7.1 billion investment in Meidi Group; and</w:t>
      </w:r>
    </w:p>
    <w:p w14:paraId="0FA542EB" w14:textId="77777777" w:rsidR="00E7571F" w:rsidRDefault="00E7571F" w:rsidP="00E7571F">
      <w:pPr>
        <w:pStyle w:val="af5"/>
        <w:numPr>
          <w:ilvl w:val="0"/>
          <w:numId w:val="57"/>
        </w:numPr>
        <w:spacing w:before="120"/>
        <w:ind w:left="690" w:hanging="240"/>
        <w:rPr>
          <w:rFonts w:ascii="等线" w:eastAsia="等线" w:hAnsi="Times New Roman"/>
          <w:color w:val="000000"/>
        </w:rPr>
      </w:pPr>
      <w:r w:rsidRPr="00E7571F">
        <w:rPr>
          <w:rFonts w:ascii="等线" w:eastAsia="等线" w:hAnsi="Times New Roman"/>
          <w:color w:val="000000"/>
        </w:rPr>
        <w:t xml:space="preserve">Represented the TPG RMB funds in their investment in the financial services sector, its exit from the investment and in its investments in the energy, consumer products (including Daphne International) sectors; Represented TPG and KKR in their purchase of equity interests in CICC, one of China's leading investment banks, from Morgan Stanley.   </w:t>
      </w:r>
      <w:r w:rsidRPr="00E7571F">
        <w:rPr>
          <w:rFonts w:ascii="等线" w:eastAsia="等线" w:hAnsi="Times New Roman"/>
          <w:color w:val="000000"/>
        </w:rPr>
        <w:t> </w:t>
      </w:r>
      <w:r w:rsidRPr="00E7571F">
        <w:rPr>
          <w:rFonts w:ascii="等线" w:eastAsia="等线" w:hAnsi="Times New Roman"/>
          <w:color w:val="000000"/>
        </w:rPr>
        <w:t>Other major financial clients include Abax, AEA, Affirma Capital, Citic PE, CMC, Franklin Templeton Darby, Overlook Partners, PAG, and VKC.</w:t>
      </w:r>
    </w:p>
    <w:p w14:paraId="25B803F8" w14:textId="77777777" w:rsidR="00E7571F" w:rsidRDefault="00E7571F" w:rsidP="00E7571F">
      <w:pPr>
        <w:pStyle w:val="af5"/>
        <w:spacing w:before="120"/>
        <w:rPr>
          <w:rFonts w:ascii="等线" w:eastAsia="等线" w:hAnsi="Times New Roman"/>
          <w:color w:val="000000"/>
        </w:rPr>
      </w:pPr>
      <w:r w:rsidRPr="00E7571F">
        <w:rPr>
          <w:rFonts w:ascii="等线" w:eastAsia="等线" w:hAnsi="Times New Roman"/>
          <w:color w:val="000000"/>
        </w:rPr>
        <w:t>Fund Formation Practice</w:t>
      </w:r>
    </w:p>
    <w:p w14:paraId="1046718B" w14:textId="77777777" w:rsidR="00E7571F" w:rsidRDefault="00E7571F" w:rsidP="00E7571F">
      <w:pPr>
        <w:pStyle w:val="af5"/>
        <w:numPr>
          <w:ilvl w:val="0"/>
          <w:numId w:val="58"/>
        </w:numPr>
        <w:spacing w:before="120"/>
        <w:ind w:left="690" w:hanging="240"/>
        <w:rPr>
          <w:rFonts w:ascii="等线" w:eastAsia="等线" w:hAnsi="Times New Roman"/>
          <w:color w:val="000000"/>
        </w:rPr>
      </w:pPr>
      <w:r w:rsidRPr="00E7571F">
        <w:rPr>
          <w:rFonts w:ascii="等线" w:eastAsia="等线" w:hAnsi="Times New Roman"/>
          <w:color w:val="000000"/>
        </w:rPr>
        <w:t>Norman also has extensive experience in fund formation practice and was previously the main coordinator for the Shanghai based fund practice. Fund clients include TPG, AMP, Darby Private Equity, Fosun, Golden Brick Capital, Guohe, Guosheng and CLSA, ICBCI, Oriza, VKC, and Yunfeng.</w:t>
      </w:r>
    </w:p>
    <w:p w14:paraId="030BCFFD" w14:textId="77777777" w:rsidR="00E7571F" w:rsidRDefault="00E7571F" w:rsidP="00E7571F">
      <w:pPr>
        <w:pStyle w:val="af5"/>
        <w:spacing w:after="0" w:line="480" w:lineRule="auto"/>
        <w:rPr>
          <w:rFonts w:ascii="等线" w:eastAsia="等线" w:hAnsi="等线"/>
          <w:b/>
          <w:sz w:val="24"/>
        </w:rPr>
      </w:pPr>
      <w:r w:rsidRPr="00E7571F">
        <w:rPr>
          <w:rFonts w:ascii="等线" w:eastAsia="等线" w:hAnsi="等线"/>
          <w:b/>
          <w:sz w:val="24"/>
        </w:rPr>
        <w:t>Education</w:t>
      </w:r>
    </w:p>
    <w:p w14:paraId="72E62EE9" w14:textId="77777777" w:rsidR="00E7571F" w:rsidRDefault="00E7571F" w:rsidP="00E7571F">
      <w:pPr>
        <w:pStyle w:val="af5"/>
        <w:numPr>
          <w:ilvl w:val="0"/>
          <w:numId w:val="59"/>
        </w:numPr>
        <w:spacing w:before="120"/>
        <w:ind w:left="690" w:hanging="240"/>
        <w:rPr>
          <w:rFonts w:ascii="等线" w:eastAsia="等线" w:hAnsi="Times New Roman"/>
          <w:color w:val="000000"/>
        </w:rPr>
      </w:pPr>
      <w:r w:rsidRPr="00E7571F">
        <w:rPr>
          <w:rFonts w:ascii="等线" w:eastAsia="等线" w:hAnsi="Times New Roman"/>
          <w:color w:val="000000"/>
        </w:rPr>
        <w:t>Columbia University School of Law, JD (James Kent Scholar), 2005</w:t>
      </w:r>
    </w:p>
    <w:p w14:paraId="4902FD68" w14:textId="77777777" w:rsidR="00E7571F" w:rsidRDefault="00E7571F" w:rsidP="00E7571F">
      <w:pPr>
        <w:pStyle w:val="af5"/>
        <w:numPr>
          <w:ilvl w:val="0"/>
          <w:numId w:val="60"/>
        </w:numPr>
        <w:spacing w:before="120"/>
        <w:ind w:left="690" w:hanging="240"/>
        <w:rPr>
          <w:rFonts w:ascii="等线" w:eastAsia="等线" w:hAnsi="Times New Roman"/>
          <w:color w:val="000000"/>
        </w:rPr>
      </w:pPr>
      <w:r w:rsidRPr="00E7571F">
        <w:rPr>
          <w:rFonts w:ascii="等线" w:eastAsia="等线" w:hAnsi="Times New Roman"/>
          <w:color w:val="000000"/>
        </w:rPr>
        <w:t>Fudan University School of Law, LLM, 2002 (distinction)</w:t>
      </w:r>
    </w:p>
    <w:p w14:paraId="1FD01F14" w14:textId="77777777" w:rsidR="00E7571F" w:rsidRDefault="00E7571F" w:rsidP="00E7571F">
      <w:pPr>
        <w:pStyle w:val="af5"/>
        <w:numPr>
          <w:ilvl w:val="0"/>
          <w:numId w:val="61"/>
        </w:numPr>
        <w:spacing w:before="120"/>
        <w:ind w:left="690" w:hanging="240"/>
        <w:rPr>
          <w:rFonts w:ascii="等线" w:eastAsia="等线" w:hAnsi="Times New Roman"/>
          <w:color w:val="000000"/>
        </w:rPr>
      </w:pPr>
      <w:r w:rsidRPr="00E7571F">
        <w:rPr>
          <w:rFonts w:ascii="等线" w:eastAsia="等线" w:hAnsi="Times New Roman"/>
          <w:color w:val="000000"/>
        </w:rPr>
        <w:t>University of International Business &amp; Economics, LLB (highest distinction), 1999</w:t>
      </w:r>
    </w:p>
    <w:p w14:paraId="07BE5424" w14:textId="77777777" w:rsidR="00E7571F" w:rsidRDefault="00E7571F" w:rsidP="00E7571F">
      <w:pPr>
        <w:pStyle w:val="af5"/>
        <w:spacing w:after="0" w:line="480" w:lineRule="auto"/>
        <w:rPr>
          <w:rFonts w:ascii="等线" w:eastAsia="等线" w:hAnsi="等线"/>
          <w:b/>
          <w:sz w:val="24"/>
        </w:rPr>
      </w:pPr>
      <w:r w:rsidRPr="00E7571F">
        <w:rPr>
          <w:rFonts w:ascii="等线" w:eastAsia="等线" w:hAnsi="等线"/>
          <w:b/>
          <w:sz w:val="24"/>
        </w:rPr>
        <w:t>Professional Qualification</w:t>
      </w:r>
    </w:p>
    <w:p w14:paraId="7EE650B1" w14:textId="77777777" w:rsidR="00E7571F" w:rsidRDefault="00E7571F" w:rsidP="00E7571F">
      <w:pPr>
        <w:pStyle w:val="af5"/>
        <w:numPr>
          <w:ilvl w:val="0"/>
          <w:numId w:val="62"/>
        </w:numPr>
        <w:spacing w:before="120"/>
        <w:ind w:left="690" w:hanging="240"/>
        <w:rPr>
          <w:rFonts w:ascii="等线" w:eastAsia="等线" w:hAnsi="Times New Roman"/>
          <w:color w:val="000000"/>
        </w:rPr>
      </w:pPr>
      <w:r w:rsidRPr="00E7571F">
        <w:rPr>
          <w:rFonts w:ascii="等线" w:eastAsia="等线" w:hAnsi="Times New Roman"/>
          <w:color w:val="000000"/>
        </w:rPr>
        <w:t>Admitted to practice in the PRC</w:t>
      </w:r>
    </w:p>
    <w:p w14:paraId="0851CC85" w14:textId="77777777" w:rsidR="00E7571F" w:rsidRDefault="00E7571F" w:rsidP="00E7571F">
      <w:pPr>
        <w:pStyle w:val="af5"/>
        <w:numPr>
          <w:ilvl w:val="0"/>
          <w:numId w:val="63"/>
        </w:numPr>
        <w:spacing w:before="120"/>
        <w:ind w:left="690" w:hanging="240"/>
        <w:rPr>
          <w:rFonts w:ascii="等线" w:eastAsia="等线" w:hAnsi="Times New Roman"/>
          <w:color w:val="000000"/>
        </w:rPr>
      </w:pPr>
      <w:r w:rsidRPr="00E7571F">
        <w:rPr>
          <w:rFonts w:ascii="等线" w:eastAsia="等线" w:hAnsi="Times New Roman"/>
          <w:color w:val="000000"/>
        </w:rPr>
        <w:t>Admitted to practice in New York</w:t>
      </w:r>
    </w:p>
    <w:p w14:paraId="22D29A43" w14:textId="77777777" w:rsidR="00E7571F" w:rsidRDefault="00E7571F" w:rsidP="00E7571F">
      <w:pPr>
        <w:pStyle w:val="af5"/>
        <w:numPr>
          <w:ilvl w:val="0"/>
          <w:numId w:val="64"/>
        </w:numPr>
        <w:spacing w:before="120"/>
        <w:ind w:left="690" w:hanging="240"/>
        <w:rPr>
          <w:rFonts w:ascii="等线" w:eastAsia="等线" w:hAnsi="Times New Roman"/>
          <w:color w:val="000000"/>
        </w:rPr>
      </w:pPr>
      <w:r w:rsidRPr="00E7571F">
        <w:rPr>
          <w:rFonts w:ascii="等线" w:eastAsia="等线" w:hAnsi="Times New Roman"/>
          <w:color w:val="000000"/>
        </w:rPr>
        <w:t>Registered Foreign Lawyer in Hong Kong SAR</w:t>
      </w:r>
    </w:p>
    <w:p w14:paraId="4A9E3E86" w14:textId="77777777" w:rsidR="00E7571F" w:rsidRDefault="00E7571F" w:rsidP="00E7571F">
      <w:pPr>
        <w:pStyle w:val="af5"/>
        <w:spacing w:after="0" w:line="480" w:lineRule="auto"/>
        <w:rPr>
          <w:rFonts w:ascii="等线" w:eastAsia="等线" w:hAnsi="等线"/>
          <w:b/>
          <w:sz w:val="24"/>
        </w:rPr>
      </w:pPr>
      <w:r w:rsidRPr="00E7571F">
        <w:rPr>
          <w:rFonts w:ascii="等线" w:eastAsia="等线" w:hAnsi="等线"/>
          <w:b/>
          <w:sz w:val="24"/>
        </w:rPr>
        <w:t>Professional Background</w:t>
      </w:r>
    </w:p>
    <w:p w14:paraId="3A1FA9AB" w14:textId="77777777" w:rsidR="00E7571F" w:rsidRDefault="00E7571F" w:rsidP="00E7571F">
      <w:pPr>
        <w:pStyle w:val="af5"/>
        <w:numPr>
          <w:ilvl w:val="0"/>
          <w:numId w:val="65"/>
        </w:numPr>
        <w:spacing w:before="120"/>
        <w:ind w:left="690" w:hanging="240"/>
        <w:rPr>
          <w:rFonts w:ascii="等线" w:eastAsia="等线" w:hAnsi="Times New Roman"/>
          <w:color w:val="000000"/>
        </w:rPr>
      </w:pPr>
      <w:r w:rsidRPr="00E7571F">
        <w:rPr>
          <w:rFonts w:ascii="等线" w:eastAsia="等线" w:hAnsi="Times New Roman"/>
          <w:color w:val="000000"/>
        </w:rPr>
        <w:t>Norman worked with the firm</w:t>
      </w:r>
      <w:r w:rsidRPr="00E7571F">
        <w:rPr>
          <w:rFonts w:ascii="等线" w:eastAsia="等线" w:hAnsi="Times New Roman"/>
          <w:color w:val="000000"/>
        </w:rPr>
        <w:t>’</w:t>
      </w:r>
      <w:r w:rsidRPr="00E7571F">
        <w:rPr>
          <w:rFonts w:ascii="等线" w:eastAsia="等线" w:hAnsi="Times New Roman"/>
          <w:color w:val="000000"/>
        </w:rPr>
        <w:t>s Shanghai office before furthering study at Columbia.  Before rejoining the firm in Beijing as counsel in 2009, Norman worked in the M&amp;A and Corporate Finance departments of Skadden, Arps, Slate, Meagher &amp; Flom LLP and Sullivan &amp; Cromwell LLP (both in their New York offices).  Norman has been the hiring partner responsible for hiring of the Shanghai and Hong Kong offices from 2012 to 2018.  Norman has been the head of the firm</w:t>
      </w:r>
      <w:r w:rsidRPr="00E7571F">
        <w:rPr>
          <w:rFonts w:ascii="等线" w:eastAsia="等线" w:hAnsi="Times New Roman"/>
          <w:color w:val="000000"/>
        </w:rPr>
        <w:t>’</w:t>
      </w:r>
      <w:r w:rsidRPr="00E7571F">
        <w:rPr>
          <w:rFonts w:ascii="等线" w:eastAsia="等线" w:hAnsi="Times New Roman"/>
          <w:color w:val="000000"/>
        </w:rPr>
        <w:t>s General Industries Group (with more than 100 attorneys) since the formation of the group in 2018.</w:t>
      </w:r>
    </w:p>
    <w:p w14:paraId="3C58E07D" w14:textId="77777777" w:rsidR="00E7571F" w:rsidRDefault="00E7571F" w:rsidP="00E7571F">
      <w:pPr>
        <w:pStyle w:val="af5"/>
        <w:spacing w:after="0" w:line="480" w:lineRule="auto"/>
        <w:rPr>
          <w:rFonts w:ascii="等线" w:eastAsia="等线" w:hAnsi="等线"/>
          <w:b/>
          <w:sz w:val="24"/>
        </w:rPr>
      </w:pPr>
      <w:r w:rsidRPr="00E7571F">
        <w:rPr>
          <w:rFonts w:ascii="等线" w:eastAsia="等线" w:hAnsi="等线"/>
          <w:b/>
          <w:sz w:val="24"/>
        </w:rPr>
        <w:t>OTHER INFORMATION</w:t>
      </w:r>
    </w:p>
    <w:p w14:paraId="28A1F6DD" w14:textId="77777777" w:rsidR="00E7571F" w:rsidRDefault="00E7571F" w:rsidP="00E7571F">
      <w:pPr>
        <w:pStyle w:val="af5"/>
        <w:spacing w:after="0" w:line="480" w:lineRule="auto"/>
        <w:rPr>
          <w:rFonts w:ascii="等线" w:eastAsia="等线" w:hAnsi="等线"/>
          <w:b/>
          <w:sz w:val="24"/>
        </w:rPr>
      </w:pPr>
      <w:r w:rsidRPr="00E7571F">
        <w:rPr>
          <w:rFonts w:ascii="等线" w:eastAsia="等线" w:hAnsi="等线"/>
          <w:b/>
          <w:sz w:val="24"/>
        </w:rPr>
        <w:t>Honors and Awards</w:t>
      </w:r>
    </w:p>
    <w:p w14:paraId="5567FC3C" w14:textId="7886EC9D" w:rsidR="00686369" w:rsidRPr="00E7571F" w:rsidRDefault="00E7571F" w:rsidP="00E7571F">
      <w:pPr>
        <w:pStyle w:val="af5"/>
        <w:numPr>
          <w:ilvl w:val="0"/>
          <w:numId w:val="66"/>
        </w:numPr>
        <w:spacing w:before="120"/>
        <w:ind w:left="690" w:hanging="240"/>
        <w:rPr>
          <w:rFonts w:ascii="等线" w:eastAsia="等线" w:hAnsi="Times New Roman"/>
          <w:color w:val="000000"/>
        </w:rPr>
      </w:pPr>
      <w:r w:rsidRPr="00E7571F">
        <w:rPr>
          <w:rFonts w:ascii="等线" w:eastAsia="等线" w:hAnsi="Times New Roman"/>
          <w:color w:val="000000"/>
        </w:rPr>
        <w:t xml:space="preserve">Norman has been recognized as Band 1 M&amp;A lawyer by Chambers Global and Chambers Greater China Region, as one of the most renowned Leading Mergers &amp; Acquisitions Lawyer in China by the Legal 500 (under the </w:t>
      </w:r>
      <w:r w:rsidRPr="00E7571F">
        <w:rPr>
          <w:rFonts w:ascii="等线" w:eastAsia="等线" w:hAnsi="Times New Roman"/>
          <w:color w:val="000000"/>
        </w:rPr>
        <w:t>“</w:t>
      </w:r>
      <w:r w:rsidRPr="00E7571F">
        <w:rPr>
          <w:rFonts w:ascii="等线" w:eastAsia="等线" w:hAnsi="Times New Roman"/>
          <w:color w:val="000000"/>
        </w:rPr>
        <w:t>Hall of Fame Lawyer</w:t>
      </w:r>
      <w:r w:rsidRPr="00E7571F">
        <w:rPr>
          <w:rFonts w:ascii="等线" w:eastAsia="等线" w:hAnsi="Times New Roman"/>
          <w:color w:val="000000"/>
        </w:rPr>
        <w:t>”</w:t>
      </w:r>
      <w:r w:rsidRPr="00E7571F">
        <w:rPr>
          <w:rFonts w:ascii="等线" w:eastAsia="等线" w:hAnsi="Times New Roman"/>
          <w:color w:val="000000"/>
        </w:rPr>
        <w:t xml:space="preserve"> category in recent years), by IFLR1000 </w:t>
      </w:r>
      <w:r w:rsidRPr="00E7571F">
        <w:rPr>
          <w:rFonts w:ascii="等线" w:eastAsia="等线" w:hAnsi="Times New Roman"/>
          <w:color w:val="000000"/>
        </w:rPr>
        <w:t>–</w:t>
      </w:r>
      <w:r w:rsidRPr="00E7571F">
        <w:rPr>
          <w:rFonts w:ascii="等线" w:eastAsia="等线" w:hAnsi="Times New Roman"/>
          <w:color w:val="000000"/>
        </w:rPr>
        <w:t xml:space="preserve"> The Guide to the World</w:t>
      </w:r>
      <w:r w:rsidRPr="00E7571F">
        <w:rPr>
          <w:rFonts w:ascii="等线" w:eastAsia="等线" w:hAnsi="Times New Roman"/>
          <w:color w:val="000000"/>
        </w:rPr>
        <w:t>’</w:t>
      </w:r>
      <w:r w:rsidRPr="00E7571F">
        <w:rPr>
          <w:rFonts w:ascii="等线" w:eastAsia="等线" w:hAnsi="Times New Roman"/>
          <w:color w:val="000000"/>
        </w:rPr>
        <w:t xml:space="preserve">s Leading Financial Law Firms (for every year since 2011). </w:t>
      </w:r>
    </w:p>
    <w:sectPr w:rsidR="00686369" w:rsidRPr="00E7571F"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D1E17"/>
    <w:multiLevelType w:val="singleLevel"/>
    <w:tmpl w:val="6B9E2A9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B244D8"/>
    <w:multiLevelType w:val="singleLevel"/>
    <w:tmpl w:val="0892155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36C71EA"/>
    <w:multiLevelType w:val="singleLevel"/>
    <w:tmpl w:val="C750037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3C55DC6"/>
    <w:multiLevelType w:val="singleLevel"/>
    <w:tmpl w:val="8B525D9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3CA7CC0"/>
    <w:multiLevelType w:val="singleLevel"/>
    <w:tmpl w:val="F462EC7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5A37AA6"/>
    <w:multiLevelType w:val="singleLevel"/>
    <w:tmpl w:val="9E767DA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A6E50F9"/>
    <w:multiLevelType w:val="singleLevel"/>
    <w:tmpl w:val="AB206CA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C2E6757"/>
    <w:multiLevelType w:val="singleLevel"/>
    <w:tmpl w:val="B0006DE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F387B94"/>
    <w:multiLevelType w:val="singleLevel"/>
    <w:tmpl w:val="FC7840E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23A5C07"/>
    <w:multiLevelType w:val="singleLevel"/>
    <w:tmpl w:val="0B62EC5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25860D9"/>
    <w:multiLevelType w:val="singleLevel"/>
    <w:tmpl w:val="E23CA71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2A85B82"/>
    <w:multiLevelType w:val="singleLevel"/>
    <w:tmpl w:val="1F56918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4843CA6"/>
    <w:multiLevelType w:val="singleLevel"/>
    <w:tmpl w:val="48C0741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50D35F6"/>
    <w:multiLevelType w:val="singleLevel"/>
    <w:tmpl w:val="4A2043D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5760CCD"/>
    <w:multiLevelType w:val="singleLevel"/>
    <w:tmpl w:val="080E5A1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6642CCF"/>
    <w:multiLevelType w:val="singleLevel"/>
    <w:tmpl w:val="0EA04AD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E7E02FE"/>
    <w:multiLevelType w:val="singleLevel"/>
    <w:tmpl w:val="40461BF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1F9D0306"/>
    <w:multiLevelType w:val="singleLevel"/>
    <w:tmpl w:val="AFD04D6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3F479DD"/>
    <w:multiLevelType w:val="singleLevel"/>
    <w:tmpl w:val="7A163F5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4C1442C"/>
    <w:multiLevelType w:val="singleLevel"/>
    <w:tmpl w:val="1996EE0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4FB7B19"/>
    <w:multiLevelType w:val="singleLevel"/>
    <w:tmpl w:val="660E9FE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790753E"/>
    <w:multiLevelType w:val="singleLevel"/>
    <w:tmpl w:val="3D6826C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A5069DB"/>
    <w:multiLevelType w:val="singleLevel"/>
    <w:tmpl w:val="D536013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BDE1DD1"/>
    <w:multiLevelType w:val="singleLevel"/>
    <w:tmpl w:val="D21029D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2C987108"/>
    <w:multiLevelType w:val="singleLevel"/>
    <w:tmpl w:val="6B9CDF6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26D48F2"/>
    <w:multiLevelType w:val="singleLevel"/>
    <w:tmpl w:val="27E49DD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2A46BDA"/>
    <w:multiLevelType w:val="singleLevel"/>
    <w:tmpl w:val="3F0C3E9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50E07F2"/>
    <w:multiLevelType w:val="singleLevel"/>
    <w:tmpl w:val="8E86561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61D347E"/>
    <w:multiLevelType w:val="singleLevel"/>
    <w:tmpl w:val="798C5BC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80B45A8"/>
    <w:multiLevelType w:val="singleLevel"/>
    <w:tmpl w:val="688E726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C1417D1"/>
    <w:multiLevelType w:val="singleLevel"/>
    <w:tmpl w:val="84701C1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3CF96F09"/>
    <w:multiLevelType w:val="singleLevel"/>
    <w:tmpl w:val="5160645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3D940FD1"/>
    <w:multiLevelType w:val="singleLevel"/>
    <w:tmpl w:val="1B561EE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3F61214A"/>
    <w:multiLevelType w:val="singleLevel"/>
    <w:tmpl w:val="31669EA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3F752794"/>
    <w:multiLevelType w:val="singleLevel"/>
    <w:tmpl w:val="D6B0DAEE"/>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04B4E9F"/>
    <w:multiLevelType w:val="singleLevel"/>
    <w:tmpl w:val="6060D588"/>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06C3A74"/>
    <w:multiLevelType w:val="singleLevel"/>
    <w:tmpl w:val="37B228B2"/>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43902679"/>
    <w:multiLevelType w:val="singleLevel"/>
    <w:tmpl w:val="BE2C4CDC"/>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45005ECC"/>
    <w:multiLevelType w:val="singleLevel"/>
    <w:tmpl w:val="3196BB6E"/>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45BC6E5F"/>
    <w:multiLevelType w:val="singleLevel"/>
    <w:tmpl w:val="1D907DE2"/>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482B4B44"/>
    <w:multiLevelType w:val="singleLevel"/>
    <w:tmpl w:val="BD061770"/>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4A251F28"/>
    <w:multiLevelType w:val="singleLevel"/>
    <w:tmpl w:val="EC88A656"/>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4B7229C9"/>
    <w:multiLevelType w:val="singleLevel"/>
    <w:tmpl w:val="EC1479F0"/>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4F8159AE"/>
    <w:multiLevelType w:val="singleLevel"/>
    <w:tmpl w:val="8EE45C40"/>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503B2BC0"/>
    <w:multiLevelType w:val="singleLevel"/>
    <w:tmpl w:val="8028DEC4"/>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55D47BAD"/>
    <w:multiLevelType w:val="singleLevel"/>
    <w:tmpl w:val="BE985C92"/>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58F45405"/>
    <w:multiLevelType w:val="singleLevel"/>
    <w:tmpl w:val="645A3870"/>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59D3473B"/>
    <w:multiLevelType w:val="singleLevel"/>
    <w:tmpl w:val="4E1AB9D6"/>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5B0C1368"/>
    <w:multiLevelType w:val="singleLevel"/>
    <w:tmpl w:val="C984829C"/>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5B7C60EE"/>
    <w:multiLevelType w:val="singleLevel"/>
    <w:tmpl w:val="221CF9FA"/>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5D170D4B"/>
    <w:multiLevelType w:val="singleLevel"/>
    <w:tmpl w:val="7F9261A0"/>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5E790163"/>
    <w:multiLevelType w:val="singleLevel"/>
    <w:tmpl w:val="400219EC"/>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5F2E41A3"/>
    <w:multiLevelType w:val="singleLevel"/>
    <w:tmpl w:val="B0D6A366"/>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601430D5"/>
    <w:multiLevelType w:val="singleLevel"/>
    <w:tmpl w:val="F00A4510"/>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61EE2706"/>
    <w:multiLevelType w:val="singleLevel"/>
    <w:tmpl w:val="A150EB02"/>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63F620DE"/>
    <w:multiLevelType w:val="singleLevel"/>
    <w:tmpl w:val="652A545A"/>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67B97D3F"/>
    <w:multiLevelType w:val="singleLevel"/>
    <w:tmpl w:val="CDE2D3D2"/>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6A4948C5"/>
    <w:multiLevelType w:val="singleLevel"/>
    <w:tmpl w:val="D65E6D92"/>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6BE34245"/>
    <w:multiLevelType w:val="singleLevel"/>
    <w:tmpl w:val="2AAA14A2"/>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6E6905F5"/>
    <w:multiLevelType w:val="singleLevel"/>
    <w:tmpl w:val="EECEE838"/>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6FD35184"/>
    <w:multiLevelType w:val="singleLevel"/>
    <w:tmpl w:val="ACC809F2"/>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6FDA516D"/>
    <w:multiLevelType w:val="singleLevel"/>
    <w:tmpl w:val="D65E6D92"/>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76C3731E"/>
    <w:multiLevelType w:val="singleLevel"/>
    <w:tmpl w:val="FAEA9F36"/>
    <w:lvl w:ilvl="0">
      <w:start w:val="1"/>
      <w:numFmt w:val="bullet"/>
      <w:lvlText w:val=""/>
      <w:lvlJc w:val="left"/>
      <w:pPr>
        <w:tabs>
          <w:tab w:val="num" w:pos="200"/>
        </w:tabs>
        <w:ind w:left="200" w:hanging="200"/>
      </w:pPr>
      <w:rPr>
        <w:rFonts w:ascii="Wingdings" w:hAnsi="Wingdings" w:hint="default"/>
        <w:sz w:val="16"/>
      </w:rPr>
    </w:lvl>
  </w:abstractNum>
  <w:abstractNum w:abstractNumId="63" w15:restartNumberingAfterBreak="0">
    <w:nsid w:val="7C2F633A"/>
    <w:multiLevelType w:val="singleLevel"/>
    <w:tmpl w:val="B7E8E7B8"/>
    <w:lvl w:ilvl="0">
      <w:start w:val="1"/>
      <w:numFmt w:val="bullet"/>
      <w:lvlText w:val=""/>
      <w:lvlJc w:val="left"/>
      <w:pPr>
        <w:tabs>
          <w:tab w:val="num" w:pos="200"/>
        </w:tabs>
        <w:ind w:left="200" w:hanging="200"/>
      </w:pPr>
      <w:rPr>
        <w:rFonts w:ascii="Wingdings" w:hAnsi="Wingdings" w:hint="default"/>
        <w:sz w:val="16"/>
      </w:rPr>
    </w:lvl>
  </w:abstractNum>
  <w:abstractNum w:abstractNumId="64" w15:restartNumberingAfterBreak="0">
    <w:nsid w:val="7C6B572A"/>
    <w:multiLevelType w:val="singleLevel"/>
    <w:tmpl w:val="1A36FF9A"/>
    <w:lvl w:ilvl="0">
      <w:start w:val="1"/>
      <w:numFmt w:val="bullet"/>
      <w:lvlText w:val=""/>
      <w:lvlJc w:val="left"/>
      <w:pPr>
        <w:tabs>
          <w:tab w:val="num" w:pos="200"/>
        </w:tabs>
        <w:ind w:left="200" w:hanging="200"/>
      </w:pPr>
      <w:rPr>
        <w:rFonts w:ascii="Wingdings" w:hAnsi="Wingdings" w:hint="default"/>
        <w:sz w:val="16"/>
      </w:rPr>
    </w:lvl>
  </w:abstractNum>
  <w:abstractNum w:abstractNumId="65" w15:restartNumberingAfterBreak="0">
    <w:nsid w:val="7E2531D4"/>
    <w:multiLevelType w:val="singleLevel"/>
    <w:tmpl w:val="935CB632"/>
    <w:lvl w:ilvl="0">
      <w:start w:val="1"/>
      <w:numFmt w:val="bullet"/>
      <w:lvlText w:val=""/>
      <w:lvlJc w:val="left"/>
      <w:pPr>
        <w:tabs>
          <w:tab w:val="num" w:pos="200"/>
        </w:tabs>
        <w:ind w:left="200" w:hanging="200"/>
      </w:pPr>
      <w:rPr>
        <w:rFonts w:ascii="Wingdings" w:hAnsi="Wingdings" w:hint="default"/>
        <w:sz w:val="16"/>
      </w:rPr>
    </w:lvl>
  </w:abstractNum>
  <w:num w:numId="1">
    <w:abstractNumId w:val="48"/>
  </w:num>
  <w:num w:numId="2">
    <w:abstractNumId w:val="7"/>
  </w:num>
  <w:num w:numId="3">
    <w:abstractNumId w:val="52"/>
  </w:num>
  <w:num w:numId="4">
    <w:abstractNumId w:val="8"/>
  </w:num>
  <w:num w:numId="5">
    <w:abstractNumId w:val="11"/>
  </w:num>
  <w:num w:numId="6">
    <w:abstractNumId w:val="39"/>
  </w:num>
  <w:num w:numId="7">
    <w:abstractNumId w:val="62"/>
  </w:num>
  <w:num w:numId="8">
    <w:abstractNumId w:val="26"/>
  </w:num>
  <w:num w:numId="9">
    <w:abstractNumId w:val="32"/>
  </w:num>
  <w:num w:numId="10">
    <w:abstractNumId w:val="4"/>
  </w:num>
  <w:num w:numId="11">
    <w:abstractNumId w:val="38"/>
  </w:num>
  <w:num w:numId="12">
    <w:abstractNumId w:val="65"/>
  </w:num>
  <w:num w:numId="13">
    <w:abstractNumId w:val="10"/>
  </w:num>
  <w:num w:numId="14">
    <w:abstractNumId w:val="0"/>
  </w:num>
  <w:num w:numId="15">
    <w:abstractNumId w:val="13"/>
  </w:num>
  <w:num w:numId="16">
    <w:abstractNumId w:val="9"/>
  </w:num>
  <w:num w:numId="17">
    <w:abstractNumId w:val="21"/>
  </w:num>
  <w:num w:numId="18">
    <w:abstractNumId w:val="54"/>
  </w:num>
  <w:num w:numId="19">
    <w:abstractNumId w:val="12"/>
  </w:num>
  <w:num w:numId="20">
    <w:abstractNumId w:val="27"/>
  </w:num>
  <w:num w:numId="21">
    <w:abstractNumId w:val="18"/>
  </w:num>
  <w:num w:numId="22">
    <w:abstractNumId w:val="41"/>
  </w:num>
  <w:num w:numId="23">
    <w:abstractNumId w:val="44"/>
  </w:num>
  <w:num w:numId="24">
    <w:abstractNumId w:val="36"/>
  </w:num>
  <w:num w:numId="25">
    <w:abstractNumId w:val="30"/>
  </w:num>
  <w:num w:numId="26">
    <w:abstractNumId w:val="2"/>
  </w:num>
  <w:num w:numId="27">
    <w:abstractNumId w:val="14"/>
  </w:num>
  <w:num w:numId="28">
    <w:abstractNumId w:val="43"/>
  </w:num>
  <w:num w:numId="29">
    <w:abstractNumId w:val="28"/>
  </w:num>
  <w:num w:numId="30">
    <w:abstractNumId w:val="58"/>
  </w:num>
  <w:num w:numId="31">
    <w:abstractNumId w:val="3"/>
  </w:num>
  <w:num w:numId="32">
    <w:abstractNumId w:val="35"/>
  </w:num>
  <w:num w:numId="33">
    <w:abstractNumId w:val="17"/>
  </w:num>
  <w:num w:numId="34">
    <w:abstractNumId w:val="40"/>
  </w:num>
  <w:num w:numId="35">
    <w:abstractNumId w:val="31"/>
  </w:num>
  <w:num w:numId="36">
    <w:abstractNumId w:val="63"/>
  </w:num>
  <w:num w:numId="37">
    <w:abstractNumId w:val="16"/>
  </w:num>
  <w:num w:numId="38">
    <w:abstractNumId w:val="1"/>
  </w:num>
  <w:num w:numId="39">
    <w:abstractNumId w:val="15"/>
  </w:num>
  <w:num w:numId="40">
    <w:abstractNumId w:val="25"/>
  </w:num>
  <w:num w:numId="41">
    <w:abstractNumId w:val="60"/>
  </w:num>
  <w:num w:numId="42">
    <w:abstractNumId w:val="5"/>
  </w:num>
  <w:num w:numId="43">
    <w:abstractNumId w:val="59"/>
  </w:num>
  <w:num w:numId="44">
    <w:abstractNumId w:val="22"/>
  </w:num>
  <w:num w:numId="45">
    <w:abstractNumId w:val="23"/>
  </w:num>
  <w:num w:numId="46">
    <w:abstractNumId w:val="29"/>
  </w:num>
  <w:num w:numId="47">
    <w:abstractNumId w:val="6"/>
  </w:num>
  <w:num w:numId="48">
    <w:abstractNumId w:val="50"/>
  </w:num>
  <w:num w:numId="49">
    <w:abstractNumId w:val="45"/>
  </w:num>
  <w:num w:numId="50">
    <w:abstractNumId w:val="51"/>
  </w:num>
  <w:num w:numId="51">
    <w:abstractNumId w:val="47"/>
  </w:num>
  <w:num w:numId="52">
    <w:abstractNumId w:val="55"/>
  </w:num>
  <w:num w:numId="53">
    <w:abstractNumId w:val="42"/>
  </w:num>
  <w:num w:numId="54">
    <w:abstractNumId w:val="20"/>
  </w:num>
  <w:num w:numId="55">
    <w:abstractNumId w:val="49"/>
  </w:num>
  <w:num w:numId="56">
    <w:abstractNumId w:val="33"/>
  </w:num>
  <w:num w:numId="57">
    <w:abstractNumId w:val="37"/>
  </w:num>
  <w:num w:numId="58">
    <w:abstractNumId w:val="64"/>
  </w:num>
  <w:num w:numId="59">
    <w:abstractNumId w:val="19"/>
  </w:num>
  <w:num w:numId="60">
    <w:abstractNumId w:val="53"/>
  </w:num>
  <w:num w:numId="61">
    <w:abstractNumId w:val="56"/>
  </w:num>
  <w:num w:numId="62">
    <w:abstractNumId w:val="46"/>
  </w:num>
  <w:num w:numId="63">
    <w:abstractNumId w:val="34"/>
  </w:num>
  <w:num w:numId="64">
    <w:abstractNumId w:val="24"/>
  </w:num>
  <w:num w:numId="65">
    <w:abstractNumId w:val="57"/>
  </w:num>
  <w:num w:numId="66">
    <w:abstractNumId w:val="61"/>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571F"/>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7571F"/>
    <w:pPr>
      <w:spacing w:after="120"/>
    </w:pPr>
  </w:style>
  <w:style w:type="character" w:customStyle="1" w:styleId="af6">
    <w:name w:val="正文文本 字符"/>
    <w:basedOn w:val="a0"/>
    <w:link w:val="af5"/>
    <w:uiPriority w:val="99"/>
    <w:rsid w:val="00E7571F"/>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DC0AC4-DF18-4336-BB91-A23A7E1EF4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1863</Words>
  <Characters>10624</Characters>
  <Application>Microsoft Office Word</Application>
  <DocSecurity>0</DocSecurity>
  <Lines>88</Lines>
  <Paragraphs>24</Paragraphs>
  <ScaleCrop>false</ScaleCrop>
  <Company/>
  <LinksUpToDate>false</LinksUpToDate>
  <CharactersWithSpaces>12463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2026-08-28T00:23:00Z</dcterms:created>
  <dcterms:modified xsi:type="dcterms:W3CDTF">2026-08-28T00:23:00Z</dcterms:modified>
</cp:coreProperties>
</file>