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35BEC5" w:rsidR="0049405C" w:rsidRPr="00C24D79" w:rsidRDefault="00415A6F" w:rsidP="00415A6F">
            <w:pPr>
              <w:spacing w:line="720" w:lineRule="auto"/>
              <w:rPr>
                <w:rFonts w:eastAsiaTheme="minorHAnsi"/>
                <w:color w:val="545551"/>
              </w:rPr>
            </w:pPr>
            <w:bookmarkStart w:id="0" w:name="xingming"/>
            <w:bookmarkStart w:id="1" w:name="_GoBack"/>
            <w:bookmarkEnd w:id="1"/>
            <w:r w:rsidRPr="00415A6F">
              <w:rPr>
                <w:rFonts w:ascii="等线" w:eastAsia="等线" w:hAnsi="Times New Roman"/>
                <w:b/>
                <w:color w:val="000000"/>
                <w:sz w:val="48"/>
              </w:rPr>
              <w:t>QIANG MA</w:t>
            </w:r>
            <w:bookmarkEnd w:id="0"/>
          </w:p>
          <w:p w14:paraId="706EB16B" w14:textId="62E42F4E" w:rsidR="0049405C" w:rsidRPr="00C24D79" w:rsidRDefault="00415A6F" w:rsidP="00415A6F">
            <w:pPr>
              <w:spacing w:line="360" w:lineRule="auto"/>
              <w:rPr>
                <w:rFonts w:eastAsiaTheme="minorHAnsi"/>
                <w:b/>
                <w:bCs/>
                <w:color w:val="545551"/>
              </w:rPr>
            </w:pPr>
            <w:bookmarkStart w:id="2" w:name="didian"/>
            <w:r w:rsidRPr="00415A6F">
              <w:rPr>
                <w:rFonts w:ascii="等线" w:eastAsia="等线" w:hAnsi="Times New Roman"/>
                <w:b/>
                <w:bCs/>
                <w:color w:val="000000"/>
              </w:rPr>
              <w:t>Partner</w:t>
            </w:r>
            <w:r w:rsidRPr="00415A6F">
              <w:rPr>
                <w:rFonts w:ascii="等线" w:eastAsia="等线" w:hAnsi="Times New Roman"/>
                <w:b/>
                <w:bCs/>
                <w:color w:val="000000"/>
              </w:rPr>
              <w:t>·</w:t>
            </w:r>
            <w:r w:rsidRPr="00415A6F">
              <w:rPr>
                <w:rFonts w:ascii="等线" w:eastAsia="等线" w:hAnsi="Times New Roman"/>
                <w:b/>
                <w:bCs/>
                <w:color w:val="000000"/>
              </w:rPr>
              <w:t>Shenzhen</w:t>
            </w:r>
            <w:bookmarkEnd w:id="2"/>
          </w:p>
          <w:p w14:paraId="6199424A" w14:textId="66F7B5D4" w:rsidR="0049405C" w:rsidRPr="00C24D79" w:rsidRDefault="00415A6F" w:rsidP="00415A6F">
            <w:pPr>
              <w:spacing w:line="360" w:lineRule="auto"/>
              <w:rPr>
                <w:rFonts w:eastAsiaTheme="minorHAnsi"/>
                <w:color w:val="545551"/>
              </w:rPr>
            </w:pPr>
            <w:bookmarkStart w:id="3" w:name="dianhua"/>
            <w:r w:rsidRPr="00415A6F">
              <w:rPr>
                <w:rFonts w:ascii="等线" w:eastAsia="等线" w:hAnsi="Times New Roman"/>
                <w:color w:val="000000"/>
              </w:rPr>
              <w:t>+86 755 8159 3999 / +852 3976 8888</w:t>
            </w:r>
            <w:bookmarkEnd w:id="3"/>
          </w:p>
          <w:p w14:paraId="4F910ACA" w14:textId="48076579" w:rsidR="0049405C" w:rsidRPr="00C24D79" w:rsidRDefault="00415A6F" w:rsidP="00415A6F">
            <w:pPr>
              <w:spacing w:line="360" w:lineRule="auto"/>
              <w:rPr>
                <w:rFonts w:eastAsiaTheme="minorHAnsi"/>
                <w:color w:val="000000"/>
              </w:rPr>
            </w:pPr>
            <w:bookmarkStart w:id="4" w:name="youxiang"/>
            <w:r w:rsidRPr="00415A6F">
              <w:rPr>
                <w:rFonts w:ascii="等线" w:eastAsia="等线" w:hAnsi="Times New Roman"/>
                <w:color w:val="000000"/>
              </w:rPr>
              <w:t>qiang.ma@fangdalaw.com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E11B216" w:rsidR="0049405C" w:rsidRPr="00C24D79" w:rsidRDefault="00415A6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7E9C63D" wp14:editId="0CC8241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ECCBC88" w:rsidR="009465FB" w:rsidRPr="00C24D79" w:rsidRDefault="00415A6F" w:rsidP="007177F3">
            <w:pPr>
              <w:rPr>
                <w:rFonts w:eastAsiaTheme="minorHAnsi"/>
                <w:color w:val="000000"/>
                <w:szCs w:val="21"/>
              </w:rPr>
            </w:pPr>
            <w:bookmarkStart w:id="6" w:name="zhiyelingyu"/>
            <w:r w:rsidRPr="00415A6F">
              <w:rPr>
                <w:rFonts w:ascii="等线" w:eastAsia="等线" w:hAnsi="Times New Roman"/>
                <w:color w:val="000000"/>
                <w:szCs w:val="21"/>
              </w:rPr>
              <w:t>MR. QIANG MA IS A PARTNER IN FANGDA PARTNERS</w:t>
            </w:r>
            <w:r w:rsidRPr="00415A6F">
              <w:rPr>
                <w:rFonts w:ascii="等线" w:eastAsia="等线" w:hAnsi="Times New Roman"/>
                <w:color w:val="000000"/>
                <w:szCs w:val="21"/>
              </w:rPr>
              <w:t>’</w:t>
            </w:r>
            <w:r w:rsidRPr="00415A6F">
              <w:rPr>
                <w:rFonts w:ascii="等线" w:eastAsia="等线" w:hAnsi="Times New Roman"/>
                <w:color w:val="000000"/>
                <w:szCs w:val="21"/>
              </w:rPr>
              <w:t xml:space="preserve"> GREATER BAY AREA OFFICE. HE FOCUSES HIS PRACTICE ON MERGERS AND ACQUISITIONS, PRIVATE EQUITY INVESTMENTS, AND CAPITAL MARKETS.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28666E" w14:textId="77777777" w:rsidR="00415A6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832601" w14:textId="77777777" w:rsidR="00415A6F" w:rsidRDefault="00415A6F" w:rsidP="00415A6F">
      <w:pPr>
        <w:pStyle w:val="af5"/>
        <w:spacing w:after="0" w:line="480" w:lineRule="auto"/>
        <w:rPr>
          <w:rFonts w:ascii="等线" w:eastAsia="等线" w:hAnsi="等线"/>
          <w:b/>
          <w:sz w:val="24"/>
        </w:rPr>
      </w:pPr>
      <w:r w:rsidRPr="00415A6F">
        <w:rPr>
          <w:rFonts w:ascii="等线" w:eastAsia="等线" w:hAnsi="等线"/>
          <w:b/>
          <w:sz w:val="24"/>
        </w:rPr>
        <w:t>REPRESENTATIVE MATTERS AND CASES</w:t>
      </w:r>
    </w:p>
    <w:p w14:paraId="586762FC" w14:textId="77777777" w:rsidR="00415A6F" w:rsidRDefault="00415A6F" w:rsidP="00415A6F">
      <w:pPr>
        <w:pStyle w:val="af5"/>
        <w:spacing w:before="120"/>
        <w:rPr>
          <w:rFonts w:ascii="等线" w:eastAsia="等线" w:hAnsi="Times New Roman"/>
          <w:color w:val="000000"/>
        </w:rPr>
      </w:pPr>
    </w:p>
    <w:p w14:paraId="73D6DA06" w14:textId="77777777" w:rsidR="00415A6F" w:rsidRDefault="00415A6F" w:rsidP="00415A6F">
      <w:pPr>
        <w:pStyle w:val="af5"/>
        <w:spacing w:before="120"/>
        <w:rPr>
          <w:rFonts w:ascii="等线" w:eastAsia="等线" w:hAnsi="Times New Roman"/>
          <w:color w:val="000000"/>
        </w:rPr>
      </w:pPr>
      <w:r w:rsidRPr="00415A6F">
        <w:rPr>
          <w:rFonts w:ascii="等线" w:eastAsia="等线" w:hAnsi="Times New Roman"/>
          <w:color w:val="000000"/>
        </w:rPr>
        <w:t>Mr. Ma has extensive experience acting as lead counsel in complex domestic and cross-border transactions. He regularly advises leading corporations and investors on navigating regulatory challenges, structuring strategic investments, and executing industry consolidation initiatives. Known for his commercial insight and disciplined execution, he has guided numerous landmark deals involving multi-jurisdictional restructurings, control transfers of listed companies, and high-value investment projects.</w:t>
      </w:r>
    </w:p>
    <w:p w14:paraId="0F01128C" w14:textId="77777777" w:rsidR="00415A6F" w:rsidRDefault="00415A6F" w:rsidP="00415A6F">
      <w:pPr>
        <w:pStyle w:val="af5"/>
        <w:spacing w:before="120"/>
        <w:rPr>
          <w:rFonts w:ascii="等线" w:eastAsia="等线" w:hAnsi="Times New Roman"/>
          <w:color w:val="000000"/>
        </w:rPr>
      </w:pPr>
      <w:r w:rsidRPr="00415A6F">
        <w:rPr>
          <w:rFonts w:ascii="等线" w:eastAsia="等线" w:hAnsi="Times New Roman"/>
          <w:color w:val="000000"/>
        </w:rPr>
        <w:t>As lead counsel, Mr. Ma has advised on:</w:t>
      </w:r>
    </w:p>
    <w:p w14:paraId="04A9F858" w14:textId="77777777" w:rsidR="00415A6F" w:rsidRDefault="00415A6F" w:rsidP="00415A6F">
      <w:pPr>
        <w:pStyle w:val="af5"/>
        <w:numPr>
          <w:ilvl w:val="0"/>
          <w:numId w:val="4"/>
        </w:numPr>
        <w:spacing w:before="120"/>
        <w:ind w:left="690" w:hanging="240"/>
        <w:rPr>
          <w:rFonts w:ascii="等线" w:eastAsia="等线" w:hAnsi="Times New Roman"/>
          <w:color w:val="000000"/>
        </w:rPr>
      </w:pPr>
      <w:r w:rsidRPr="00415A6F">
        <w:rPr>
          <w:rFonts w:ascii="等线" w:eastAsia="等线" w:hAnsi="Times New Roman"/>
          <w:color w:val="000000"/>
        </w:rPr>
        <w:t>UBTECH Robotics (9880.HK) in its RMB 1.665 billion acquisition of control of Fenglong Electric (002931.SZ), a transaction of major significance under Hong Kong Stock Exchange rules.</w:t>
      </w:r>
    </w:p>
    <w:p w14:paraId="1A74C451" w14:textId="77777777" w:rsidR="00415A6F" w:rsidRDefault="00415A6F" w:rsidP="00415A6F">
      <w:pPr>
        <w:pStyle w:val="af5"/>
        <w:numPr>
          <w:ilvl w:val="0"/>
          <w:numId w:val="5"/>
        </w:numPr>
        <w:spacing w:before="120"/>
        <w:ind w:left="690" w:hanging="240"/>
        <w:rPr>
          <w:rFonts w:ascii="等线" w:eastAsia="等线" w:hAnsi="Times New Roman"/>
          <w:color w:val="000000"/>
        </w:rPr>
      </w:pPr>
      <w:r w:rsidRPr="00415A6F">
        <w:rPr>
          <w:rFonts w:ascii="等线" w:eastAsia="等线" w:hAnsi="Times New Roman"/>
          <w:color w:val="000000"/>
        </w:rPr>
        <w:t>TCL CSOT in its RMB 13.703 billion acquisition of LG Display</w:t>
      </w:r>
      <w:r w:rsidRPr="00415A6F">
        <w:rPr>
          <w:rFonts w:ascii="等线" w:eastAsia="等线" w:hAnsi="Times New Roman"/>
          <w:color w:val="000000"/>
        </w:rPr>
        <w:t>’</w:t>
      </w:r>
      <w:r w:rsidRPr="00415A6F">
        <w:rPr>
          <w:rFonts w:ascii="等线" w:eastAsia="等线" w:hAnsi="Times New Roman"/>
          <w:color w:val="000000"/>
        </w:rPr>
        <w:t>s core LCD business in China.</w:t>
      </w:r>
    </w:p>
    <w:p w14:paraId="6107CE78" w14:textId="77777777" w:rsidR="00415A6F" w:rsidRDefault="00415A6F" w:rsidP="00415A6F">
      <w:pPr>
        <w:pStyle w:val="af5"/>
        <w:numPr>
          <w:ilvl w:val="0"/>
          <w:numId w:val="6"/>
        </w:numPr>
        <w:spacing w:before="120"/>
        <w:ind w:left="690" w:hanging="240"/>
        <w:rPr>
          <w:rFonts w:ascii="等线" w:eastAsia="等线" w:hAnsi="Times New Roman"/>
          <w:color w:val="000000"/>
        </w:rPr>
      </w:pPr>
      <w:r w:rsidRPr="00415A6F">
        <w:rPr>
          <w:rFonts w:ascii="等线" w:eastAsia="等线" w:hAnsi="Times New Roman"/>
          <w:color w:val="000000"/>
        </w:rPr>
        <w:t>Mindray Medical (300760.SZ) in its RMB 6.65 billion acquisition of Hybribio Medical (688617.SH)</w:t>
      </w:r>
      <w:r w:rsidRPr="00415A6F">
        <w:rPr>
          <w:rFonts w:ascii="等线" w:eastAsia="等线" w:hAnsi="Times New Roman"/>
          <w:color w:val="000000"/>
        </w:rPr>
        <w:t>—</w:t>
      </w:r>
      <w:r w:rsidRPr="00415A6F">
        <w:rPr>
          <w:rFonts w:ascii="等线" w:eastAsia="等线" w:hAnsi="Times New Roman"/>
          <w:color w:val="000000"/>
        </w:rPr>
        <w:t xml:space="preserve">the first </w:t>
      </w:r>
      <w:r w:rsidRPr="00415A6F">
        <w:rPr>
          <w:rFonts w:ascii="等线" w:eastAsia="等线" w:hAnsi="Times New Roman"/>
          <w:color w:val="000000"/>
        </w:rPr>
        <w:t>“</w:t>
      </w:r>
      <w:r w:rsidRPr="00415A6F">
        <w:rPr>
          <w:rFonts w:ascii="等线" w:eastAsia="等线" w:hAnsi="Times New Roman"/>
          <w:color w:val="000000"/>
        </w:rPr>
        <w:t>cash A-share to A-share</w:t>
      </w:r>
      <w:r w:rsidRPr="00415A6F">
        <w:rPr>
          <w:rFonts w:ascii="等线" w:eastAsia="等线" w:hAnsi="Times New Roman"/>
          <w:color w:val="000000"/>
        </w:rPr>
        <w:t>”</w:t>
      </w:r>
      <w:r w:rsidRPr="00415A6F">
        <w:rPr>
          <w:rFonts w:ascii="等线" w:eastAsia="等线" w:hAnsi="Times New Roman"/>
          <w:color w:val="000000"/>
        </w:rPr>
        <w:t xml:space="preserve"> control transfer on the STAR Market and the largest domestic medical device M&amp;A transaction to date.</w:t>
      </w:r>
    </w:p>
    <w:p w14:paraId="4126D0CF" w14:textId="77777777" w:rsidR="00415A6F" w:rsidRDefault="00415A6F" w:rsidP="00415A6F">
      <w:pPr>
        <w:pStyle w:val="af5"/>
        <w:numPr>
          <w:ilvl w:val="0"/>
          <w:numId w:val="7"/>
        </w:numPr>
        <w:spacing w:before="120"/>
        <w:ind w:left="690" w:hanging="240"/>
        <w:rPr>
          <w:rFonts w:ascii="等线" w:eastAsia="等线" w:hAnsi="Times New Roman"/>
          <w:color w:val="000000"/>
        </w:rPr>
      </w:pPr>
      <w:r w:rsidRPr="00415A6F">
        <w:rPr>
          <w:rFonts w:ascii="等线" w:eastAsia="等线" w:hAnsi="Times New Roman"/>
          <w:color w:val="000000"/>
        </w:rPr>
        <w:t>Luxshare Precision (002475.SZ) in its RMB 1.652 billion acquisition of Qorvo</w:t>
      </w:r>
      <w:r w:rsidRPr="00415A6F">
        <w:rPr>
          <w:rFonts w:ascii="等线" w:eastAsia="等线" w:hAnsi="Times New Roman"/>
          <w:color w:val="000000"/>
        </w:rPr>
        <w:t>’</w:t>
      </w:r>
      <w:r w:rsidRPr="00415A6F">
        <w:rPr>
          <w:rFonts w:ascii="等线" w:eastAsia="等线" w:hAnsi="Times New Roman"/>
          <w:color w:val="000000"/>
        </w:rPr>
        <w:t>s semiconductor packaging and testing line, coupled with a long-term strategic cooperation agreement.</w:t>
      </w:r>
    </w:p>
    <w:p w14:paraId="6BEF0F60" w14:textId="77777777" w:rsidR="00415A6F" w:rsidRDefault="00415A6F" w:rsidP="00415A6F">
      <w:pPr>
        <w:pStyle w:val="af5"/>
        <w:numPr>
          <w:ilvl w:val="0"/>
          <w:numId w:val="8"/>
        </w:numPr>
        <w:spacing w:before="120"/>
        <w:ind w:left="690" w:hanging="240"/>
        <w:rPr>
          <w:rFonts w:ascii="等线" w:eastAsia="等线" w:hAnsi="Times New Roman"/>
          <w:color w:val="000000"/>
        </w:rPr>
      </w:pPr>
      <w:r w:rsidRPr="00415A6F">
        <w:rPr>
          <w:rFonts w:ascii="等线" w:eastAsia="等线" w:hAnsi="Times New Roman"/>
          <w:color w:val="000000"/>
        </w:rPr>
        <w:t>A Greater Bay Area semiconductor equipment manufacturer on all strategic financings since inception, with cumulative fundraising exceeding RMB 20 billion.</w:t>
      </w:r>
    </w:p>
    <w:p w14:paraId="31A7A92B" w14:textId="77777777" w:rsidR="00415A6F" w:rsidRDefault="00415A6F" w:rsidP="00415A6F">
      <w:pPr>
        <w:pStyle w:val="af5"/>
        <w:numPr>
          <w:ilvl w:val="0"/>
          <w:numId w:val="9"/>
        </w:numPr>
        <w:spacing w:before="120"/>
        <w:ind w:left="690" w:hanging="240"/>
        <w:rPr>
          <w:rFonts w:ascii="等线" w:eastAsia="等线" w:hAnsi="Times New Roman"/>
          <w:color w:val="000000"/>
        </w:rPr>
      </w:pPr>
      <w:r w:rsidRPr="00415A6F">
        <w:rPr>
          <w:rFonts w:ascii="等线" w:eastAsia="等线" w:hAnsi="Times New Roman"/>
          <w:color w:val="000000"/>
        </w:rPr>
        <w:t>TCL business units on the global restructuring of Maxeon Solar Technologies, spanning over 30 jurisdictions and involving multiple acquisitions and divestitures.</w:t>
      </w:r>
    </w:p>
    <w:p w14:paraId="4AA13191" w14:textId="77777777" w:rsidR="00415A6F" w:rsidRDefault="00415A6F" w:rsidP="00415A6F">
      <w:pPr>
        <w:pStyle w:val="af5"/>
        <w:numPr>
          <w:ilvl w:val="0"/>
          <w:numId w:val="10"/>
        </w:numPr>
        <w:spacing w:before="120"/>
        <w:ind w:left="690" w:hanging="240"/>
        <w:rPr>
          <w:rFonts w:ascii="等线" w:eastAsia="等线" w:hAnsi="Times New Roman"/>
          <w:color w:val="000000"/>
        </w:rPr>
      </w:pPr>
      <w:r w:rsidRPr="00415A6F">
        <w:rPr>
          <w:rFonts w:ascii="等线" w:eastAsia="等线" w:hAnsi="Times New Roman"/>
          <w:color w:val="000000"/>
        </w:rPr>
        <w:t>TCL Technology (000100.SZ) and TCL CSOT in their USD 1.1 billion acquisition of Samsung Display</w:t>
      </w:r>
      <w:r w:rsidRPr="00415A6F">
        <w:rPr>
          <w:rFonts w:ascii="等线" w:eastAsia="等线" w:hAnsi="Times New Roman"/>
          <w:color w:val="000000"/>
        </w:rPr>
        <w:t>’</w:t>
      </w:r>
      <w:r w:rsidRPr="00415A6F">
        <w:rPr>
          <w:rFonts w:ascii="等线" w:eastAsia="等线" w:hAnsi="Times New Roman"/>
          <w:color w:val="000000"/>
        </w:rPr>
        <w:t>s LCD business in China, RMB 2.45 billion acquisition of Suzhou CSOT equity, and joint venture with San</w:t>
      </w:r>
      <w:r w:rsidRPr="00415A6F">
        <w:rPr>
          <w:rFonts w:ascii="等线" w:eastAsia="等线" w:hAnsi="Times New Roman"/>
          <w:color w:val="000000"/>
        </w:rPr>
        <w:t>’</w:t>
      </w:r>
      <w:r w:rsidRPr="00415A6F">
        <w:rPr>
          <w:rFonts w:ascii="等线" w:eastAsia="等线" w:hAnsi="Times New Roman"/>
          <w:color w:val="000000"/>
        </w:rPr>
        <w:t>an Optoelectronics (600703.SH) for Micro-LED R&amp;D.</w:t>
      </w:r>
    </w:p>
    <w:p w14:paraId="47EDC4DE" w14:textId="77777777" w:rsidR="00415A6F" w:rsidRDefault="00415A6F" w:rsidP="00415A6F">
      <w:pPr>
        <w:pStyle w:val="af5"/>
        <w:numPr>
          <w:ilvl w:val="0"/>
          <w:numId w:val="11"/>
        </w:numPr>
        <w:spacing w:before="120"/>
        <w:ind w:left="690" w:hanging="240"/>
        <w:rPr>
          <w:rFonts w:ascii="等线" w:eastAsia="等线" w:hAnsi="Times New Roman"/>
          <w:color w:val="000000"/>
        </w:rPr>
      </w:pPr>
      <w:r w:rsidRPr="00415A6F">
        <w:rPr>
          <w:rFonts w:ascii="等线" w:eastAsia="等线" w:hAnsi="Times New Roman"/>
          <w:color w:val="000000"/>
        </w:rPr>
        <w:t>Shenzhen Major Industrial Investment Group in its participation in the restructuring of Founder Group, including acquisition of controlling equity in Founder Microelectronics and subsequent full acquisition of minority stakes from Toshiba and management.</w:t>
      </w:r>
    </w:p>
    <w:p w14:paraId="02EBF003" w14:textId="77777777" w:rsidR="00415A6F" w:rsidRDefault="00415A6F" w:rsidP="00415A6F">
      <w:pPr>
        <w:pStyle w:val="af5"/>
        <w:numPr>
          <w:ilvl w:val="0"/>
          <w:numId w:val="12"/>
        </w:numPr>
        <w:spacing w:before="120"/>
        <w:ind w:left="690" w:hanging="240"/>
        <w:rPr>
          <w:rFonts w:ascii="等线" w:eastAsia="等线" w:hAnsi="Times New Roman"/>
          <w:color w:val="000000"/>
        </w:rPr>
      </w:pPr>
      <w:r w:rsidRPr="00415A6F">
        <w:rPr>
          <w:rFonts w:ascii="等线" w:eastAsia="等线" w:hAnsi="Times New Roman"/>
          <w:color w:val="000000"/>
        </w:rPr>
        <w:t>AAC Technologies (02018.HK) in acquisitions in automotive electronics and semiconductors.</w:t>
      </w:r>
    </w:p>
    <w:p w14:paraId="43371170" w14:textId="77777777" w:rsidR="00415A6F" w:rsidRDefault="00415A6F" w:rsidP="00415A6F">
      <w:pPr>
        <w:pStyle w:val="af5"/>
        <w:numPr>
          <w:ilvl w:val="0"/>
          <w:numId w:val="13"/>
        </w:numPr>
        <w:spacing w:before="120"/>
        <w:ind w:left="690" w:hanging="240"/>
        <w:rPr>
          <w:rFonts w:ascii="等线" w:eastAsia="等线" w:hAnsi="Times New Roman"/>
          <w:color w:val="000000"/>
        </w:rPr>
      </w:pPr>
      <w:r w:rsidRPr="00415A6F">
        <w:rPr>
          <w:rFonts w:ascii="等线" w:eastAsia="等线" w:hAnsi="Times New Roman"/>
          <w:color w:val="000000"/>
        </w:rPr>
        <w:t>BTR New Material (835185) in RMB 750 million strategic equity financing, followed by a RMB 1.672 billion public offering on the Beijing Stock Exchange, recognized as New Fortune Magazine</w:t>
      </w:r>
      <w:r w:rsidRPr="00415A6F">
        <w:rPr>
          <w:rFonts w:ascii="等线" w:eastAsia="等线" w:hAnsi="Times New Roman"/>
          <w:color w:val="000000"/>
        </w:rPr>
        <w:t>’</w:t>
      </w:r>
      <w:r w:rsidRPr="00415A6F">
        <w:rPr>
          <w:rFonts w:ascii="等线" w:eastAsia="等线" w:hAnsi="Times New Roman"/>
          <w:color w:val="000000"/>
        </w:rPr>
        <w:t>s Capital Markets Project of the Year.</w:t>
      </w:r>
    </w:p>
    <w:p w14:paraId="7845383E" w14:textId="77777777" w:rsidR="00415A6F" w:rsidRDefault="00415A6F" w:rsidP="00415A6F">
      <w:pPr>
        <w:pStyle w:val="af5"/>
        <w:numPr>
          <w:ilvl w:val="0"/>
          <w:numId w:val="14"/>
        </w:numPr>
        <w:spacing w:before="120"/>
        <w:ind w:left="690" w:hanging="240"/>
        <w:rPr>
          <w:rFonts w:ascii="等线" w:eastAsia="等线" w:hAnsi="Times New Roman"/>
          <w:color w:val="000000"/>
        </w:rPr>
      </w:pPr>
      <w:r w:rsidRPr="00415A6F">
        <w:rPr>
          <w:rFonts w:ascii="等线" w:eastAsia="等线" w:hAnsi="Times New Roman"/>
          <w:color w:val="000000"/>
        </w:rPr>
        <w:t>Nayuki Holdings (02150.HK) in its RMB 500 million strategic acquisition of Lelecha, and USD 100 million Series C financing led by PAG.</w:t>
      </w:r>
    </w:p>
    <w:p w14:paraId="567BC431" w14:textId="77777777" w:rsidR="00415A6F" w:rsidRDefault="00415A6F" w:rsidP="00415A6F">
      <w:pPr>
        <w:pStyle w:val="af5"/>
        <w:numPr>
          <w:ilvl w:val="0"/>
          <w:numId w:val="15"/>
        </w:numPr>
        <w:spacing w:before="120"/>
        <w:ind w:left="690" w:hanging="240"/>
        <w:rPr>
          <w:rFonts w:ascii="等线" w:eastAsia="等线" w:hAnsi="Times New Roman"/>
          <w:color w:val="000000"/>
        </w:rPr>
      </w:pPr>
      <w:r w:rsidRPr="00415A6F">
        <w:rPr>
          <w:rFonts w:ascii="等线" w:eastAsia="等线" w:hAnsi="Times New Roman"/>
          <w:color w:val="000000"/>
        </w:rPr>
        <w:t>Peak Sports Technology in RMB 1.5 billion strategic equity financing led by China Resources Capital.   Beyond these landmark transactions, Mr. Ma frequently serves as lead counsel to private equity investors in diverse equity investment projects and has built a distinguished track record in capital markets, advising issuers and investment banks on securities offerings both domestically and internationally.</w:t>
      </w:r>
    </w:p>
    <w:p w14:paraId="337AA793" w14:textId="77777777" w:rsidR="00415A6F" w:rsidRDefault="00415A6F" w:rsidP="00415A6F">
      <w:pPr>
        <w:pStyle w:val="af5"/>
        <w:spacing w:after="0" w:line="480" w:lineRule="auto"/>
        <w:rPr>
          <w:rFonts w:ascii="等线" w:eastAsia="等线" w:hAnsi="等线"/>
          <w:b/>
          <w:sz w:val="24"/>
        </w:rPr>
      </w:pPr>
      <w:r w:rsidRPr="00415A6F">
        <w:rPr>
          <w:rFonts w:ascii="等线" w:eastAsia="等线" w:hAnsi="等线"/>
          <w:b/>
          <w:sz w:val="24"/>
        </w:rPr>
        <w:t>Education</w:t>
      </w:r>
    </w:p>
    <w:p w14:paraId="1561FACB" w14:textId="77777777" w:rsidR="00415A6F" w:rsidRDefault="00415A6F" w:rsidP="00415A6F">
      <w:pPr>
        <w:pStyle w:val="af5"/>
        <w:numPr>
          <w:ilvl w:val="0"/>
          <w:numId w:val="16"/>
        </w:numPr>
        <w:spacing w:before="120"/>
        <w:ind w:left="690" w:hanging="240"/>
        <w:rPr>
          <w:rFonts w:ascii="等线" w:eastAsia="等线" w:hAnsi="Times New Roman"/>
          <w:color w:val="000000"/>
        </w:rPr>
      </w:pPr>
      <w:r w:rsidRPr="00415A6F">
        <w:rPr>
          <w:rFonts w:ascii="等线" w:eastAsia="等线" w:hAnsi="Times New Roman"/>
          <w:color w:val="000000"/>
        </w:rPr>
        <w:t>Southwest University of Political Science &amp; Law, Master of Laws</w:t>
      </w:r>
    </w:p>
    <w:p w14:paraId="4CCC6053" w14:textId="77777777" w:rsidR="00415A6F" w:rsidRDefault="00415A6F" w:rsidP="00415A6F">
      <w:pPr>
        <w:pStyle w:val="af5"/>
        <w:numPr>
          <w:ilvl w:val="0"/>
          <w:numId w:val="17"/>
        </w:numPr>
        <w:spacing w:before="120"/>
        <w:ind w:left="690" w:hanging="240"/>
        <w:rPr>
          <w:rFonts w:ascii="等线" w:eastAsia="等线" w:hAnsi="Times New Roman"/>
          <w:color w:val="000000"/>
        </w:rPr>
      </w:pPr>
      <w:r w:rsidRPr="00415A6F">
        <w:rPr>
          <w:rFonts w:ascii="等线" w:eastAsia="等线" w:hAnsi="Times New Roman"/>
          <w:color w:val="000000"/>
        </w:rPr>
        <w:t>Southwest University of Political Science &amp; Law, Bachelor of Laws</w:t>
      </w:r>
    </w:p>
    <w:p w14:paraId="5357698A" w14:textId="77777777" w:rsidR="00415A6F" w:rsidRDefault="00415A6F" w:rsidP="00415A6F">
      <w:pPr>
        <w:pStyle w:val="af5"/>
        <w:spacing w:after="0" w:line="480" w:lineRule="auto"/>
        <w:rPr>
          <w:rFonts w:ascii="等线" w:eastAsia="等线" w:hAnsi="等线"/>
          <w:b/>
          <w:sz w:val="24"/>
        </w:rPr>
      </w:pPr>
      <w:r w:rsidRPr="00415A6F">
        <w:rPr>
          <w:rFonts w:ascii="等线" w:eastAsia="等线" w:hAnsi="等线"/>
          <w:b/>
          <w:sz w:val="24"/>
        </w:rPr>
        <w:t>Professional Qualification</w:t>
      </w:r>
    </w:p>
    <w:p w14:paraId="5567FC3C" w14:textId="5B78BBF5" w:rsidR="00686369" w:rsidRPr="00415A6F" w:rsidRDefault="00415A6F" w:rsidP="00415A6F">
      <w:pPr>
        <w:pStyle w:val="af5"/>
        <w:numPr>
          <w:ilvl w:val="0"/>
          <w:numId w:val="18"/>
        </w:numPr>
        <w:spacing w:before="120"/>
        <w:ind w:left="690" w:hanging="240"/>
        <w:rPr>
          <w:rFonts w:ascii="等线" w:eastAsia="等线" w:hAnsi="Times New Roman"/>
          <w:color w:val="000000"/>
        </w:rPr>
      </w:pPr>
      <w:r w:rsidRPr="00415A6F">
        <w:rPr>
          <w:rFonts w:ascii="等线" w:eastAsia="等线" w:hAnsi="Times New Roman"/>
          <w:color w:val="000000"/>
        </w:rPr>
        <w:t>Admitted to practice in the PRC</w:t>
      </w:r>
    </w:p>
    <w:sectPr w:rsidR="00686369" w:rsidRPr="00415A6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352EA"/>
    <w:multiLevelType w:val="singleLevel"/>
    <w:tmpl w:val="ED72EE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7218A1"/>
    <w:multiLevelType w:val="singleLevel"/>
    <w:tmpl w:val="839EA2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031B5C"/>
    <w:multiLevelType w:val="singleLevel"/>
    <w:tmpl w:val="6B96B3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051D56"/>
    <w:multiLevelType w:val="singleLevel"/>
    <w:tmpl w:val="EC7AC5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1A1B54"/>
    <w:multiLevelType w:val="singleLevel"/>
    <w:tmpl w:val="2A08D9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064B29"/>
    <w:multiLevelType w:val="singleLevel"/>
    <w:tmpl w:val="DDC8F2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7847CB8"/>
    <w:multiLevelType w:val="singleLevel"/>
    <w:tmpl w:val="839EA2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27139D4"/>
    <w:multiLevelType w:val="singleLevel"/>
    <w:tmpl w:val="C13C9E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2EB05FC"/>
    <w:multiLevelType w:val="singleLevel"/>
    <w:tmpl w:val="B218E8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8D507F3"/>
    <w:multiLevelType w:val="singleLevel"/>
    <w:tmpl w:val="F202E2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A005F39"/>
    <w:multiLevelType w:val="singleLevel"/>
    <w:tmpl w:val="D96ED1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DB57DFA"/>
    <w:multiLevelType w:val="singleLevel"/>
    <w:tmpl w:val="5560C8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5157984"/>
    <w:multiLevelType w:val="singleLevel"/>
    <w:tmpl w:val="5E2C36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5C309B1"/>
    <w:multiLevelType w:val="singleLevel"/>
    <w:tmpl w:val="816EF8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8E3BCA"/>
    <w:multiLevelType w:val="singleLevel"/>
    <w:tmpl w:val="3FD6440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9713EE1"/>
    <w:multiLevelType w:val="singleLevel"/>
    <w:tmpl w:val="0AC0ABD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6"/>
  </w:num>
  <w:num w:numId="4">
    <w:abstractNumId w:val="0"/>
  </w:num>
  <w:num w:numId="5">
    <w:abstractNumId w:val="10"/>
  </w:num>
  <w:num w:numId="6">
    <w:abstractNumId w:val="14"/>
  </w:num>
  <w:num w:numId="7">
    <w:abstractNumId w:val="11"/>
  </w:num>
  <w:num w:numId="8">
    <w:abstractNumId w:val="5"/>
  </w:num>
  <w:num w:numId="9">
    <w:abstractNumId w:val="13"/>
  </w:num>
  <w:num w:numId="10">
    <w:abstractNumId w:val="15"/>
  </w:num>
  <w:num w:numId="11">
    <w:abstractNumId w:val="4"/>
  </w:num>
  <w:num w:numId="12">
    <w:abstractNumId w:val="12"/>
  </w:num>
  <w:num w:numId="13">
    <w:abstractNumId w:val="3"/>
  </w:num>
  <w:num w:numId="14">
    <w:abstractNumId w:val="9"/>
  </w:num>
  <w:num w:numId="15">
    <w:abstractNumId w:val="2"/>
  </w:num>
  <w:num w:numId="16">
    <w:abstractNumId w:val="17"/>
  </w:num>
  <w:num w:numId="17">
    <w:abstractNumId w:val="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5A6F"/>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15A6F"/>
    <w:pPr>
      <w:spacing w:after="120"/>
    </w:pPr>
  </w:style>
  <w:style w:type="character" w:customStyle="1" w:styleId="af6">
    <w:name w:val="正文文本 字符"/>
    <w:basedOn w:val="a0"/>
    <w:link w:val="af5"/>
    <w:uiPriority w:val="99"/>
    <w:rsid w:val="00415A6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4A15E-FE49-4388-B9FF-D9BE022AF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2026-08-06T19:37:00Z</dcterms:created>
  <dcterms:modified xsi:type="dcterms:W3CDTF">2026-08-06T19:37:00Z</dcterms:modified>
</cp:coreProperties>
</file>