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81C56E1" w:rsidR="0049405C" w:rsidRPr="00C24D79" w:rsidRDefault="004C2361" w:rsidP="004C236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C2361">
              <w:rPr>
                <w:rFonts w:ascii="等线" w:eastAsia="等线" w:hAnsi="Times New Roman"/>
                <w:b/>
                <w:color w:val="000000"/>
                <w:sz w:val="48"/>
              </w:rPr>
              <w:t>RAYMOND CHAN</w:t>
            </w:r>
            <w:bookmarkEnd w:id="0"/>
          </w:p>
          <w:p w14:paraId="706EB16B" w14:textId="323DCBE8" w:rsidR="0049405C" w:rsidRPr="00C24D79" w:rsidRDefault="004C2361" w:rsidP="004C236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C236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C236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C236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7C458C7" w:rsidR="0049405C" w:rsidRPr="00C24D79" w:rsidRDefault="004C2361" w:rsidP="004C236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C2361">
              <w:rPr>
                <w:rFonts w:ascii="等线" w:eastAsia="等线" w:hAnsi="Times New Roman"/>
                <w:color w:val="000000"/>
              </w:rPr>
              <w:t xml:space="preserve">+852 3976 8817 </w:t>
            </w:r>
            <w:bookmarkEnd w:id="3"/>
          </w:p>
          <w:p w14:paraId="4F910ACA" w14:textId="128E8770" w:rsidR="0049405C" w:rsidRPr="00C24D79" w:rsidRDefault="004C2361" w:rsidP="004C236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C2361">
              <w:rPr>
                <w:rFonts w:ascii="等线" w:eastAsia="等线" w:hAnsi="Times New Roman"/>
                <w:color w:val="000000"/>
              </w:rPr>
              <w:t>raymond.chan@fangdalaw.com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40B029C" w:rsidR="0049405C" w:rsidRPr="00C24D79" w:rsidRDefault="004C236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6FD199" wp14:editId="0E28095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0EE8F8F" w:rsidR="009465FB" w:rsidRPr="00C24D79" w:rsidRDefault="004C236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C2361">
              <w:rPr>
                <w:rFonts w:ascii="等线" w:eastAsia="等线" w:hAnsi="Times New Roman"/>
                <w:color w:val="000000"/>
                <w:szCs w:val="21"/>
              </w:rPr>
              <w:t>MR. CHAN IS A PARTNER BASED IN THE HONG KONG OFFICE.  MR. CHAN HAS EXTENSIVE EXPERIENCE IN CROSS-BORDER M&amp;A, PRIVATE EQUITY AND VENTURE CAPITAL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B6F346" w14:textId="77777777" w:rsidR="004C236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C2C9CDB" w14:textId="77777777" w:rsidR="004C2361" w:rsidRDefault="004C2361" w:rsidP="004C23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2361">
        <w:rPr>
          <w:rFonts w:ascii="等线" w:eastAsia="等线" w:hAnsi="等线"/>
          <w:b/>
          <w:sz w:val="24"/>
        </w:rPr>
        <w:t>REPRESENTATIVE MATTERS AND CASES</w:t>
      </w:r>
    </w:p>
    <w:p w14:paraId="7461948F" w14:textId="77777777" w:rsidR="004C2361" w:rsidRDefault="004C2361" w:rsidP="004C236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7C6FAAA" w14:textId="77777777" w:rsidR="004C2361" w:rsidRDefault="004C2361" w:rsidP="004C236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Alibaba Group Holding Limited (NYSE BABA; SEHK 9988) in its RMB 15 billion strategic investment in Focus Media Information Technology Co. Ltd (SZSE 002027), one of the largest digital advertising agencies in China and a pioneer in elevator media</w:t>
      </w:r>
    </w:p>
    <w:p w14:paraId="2C74F81E" w14:textId="77777777" w:rsidR="004C2361" w:rsidRDefault="004C2361" w:rsidP="004C236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a consortium of investors formed by the CEO of Clear Media Limited, Ant Financial, JCDecaux and China Wealth Growth Fund III L.P. in a HK$3.857 million voluntary conditional cash offer to acquire all of the shares in Clear Media Limited (SEHK 100), the largest operator of bus shelter advertising panels in China</w:t>
      </w:r>
    </w:p>
    <w:p w14:paraId="0919554D" w14:textId="77777777" w:rsidR="004C2361" w:rsidRDefault="004C2361" w:rsidP="004C236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PAG in its acquisition of the controlling stake in Zhenai.com, the largest online matchmaking and dating services provider in China</w:t>
      </w:r>
    </w:p>
    <w:p w14:paraId="5F17EB9B" w14:textId="77777777" w:rsidR="004C2361" w:rsidRDefault="004C2361" w:rsidP="004C236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Alibaba Pictures Group Limited (SEHK 1060) in its RMB 1 billion subscription of convertible and exchangeable bonds in Dadi Cinema, the second largest theatre chain in China and a subsidiary of Nan Hai Corporation Limited (SEHK 0680)</w:t>
      </w:r>
    </w:p>
    <w:p w14:paraId="0BEAB398" w14:textId="77777777" w:rsidR="004C2361" w:rsidRDefault="004C2361" w:rsidP="004C236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Alibaba Group Holding Limited (NYSE BABA; SEHK 9988) in its RMB 1.6 billion strategic investment in the automotive aftermarket space by setting up a joint venture company with Jiangsu Carzone Autoparts Co., Ltd., a leading autoparts supply chain service provider, Qiche Chaoren, a leading automotive maintenance platform wholly owned by Zhejiang Jingu Co Ltd (SZSE 002027), and other financial investors such as Warburg Pincus, Yunfeng Capital and PAG</w:t>
      </w:r>
    </w:p>
    <w:p w14:paraId="533C6D83" w14:textId="77777777" w:rsidR="004C2361" w:rsidRDefault="004C2361" w:rsidP="004C236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Manulife in its pre-IPO investment in a leading online medical platform in China</w:t>
      </w:r>
    </w:p>
    <w:p w14:paraId="0C3CFA74" w14:textId="77777777" w:rsidR="004C2361" w:rsidRDefault="004C2361" w:rsidP="004C236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Gaw Capital in its joint venture with China SCE Property Holdings Ltd (SEHK 1966) to establish a long-term rental apartment investment platform in China with an initial commitment of US$800 million</w:t>
      </w:r>
    </w:p>
    <w:p w14:paraId="7194616A" w14:textId="77777777" w:rsidR="004C2361" w:rsidRDefault="004C2361" w:rsidP="004C236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Alibaba Hong Kong Entrepreneurs Fund in its joint venture with Sensetime and the Hong Kong Science and Technology Park to set up the HKAI Lab, a platform focused on empowering startups in Hong Kong to develop and commercialise their AI inventions and technologies</w:t>
      </w:r>
    </w:p>
    <w:p w14:paraId="41CE1D9F" w14:textId="77777777" w:rsidR="004C2361" w:rsidRDefault="004C2361" w:rsidP="004C236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Philips in its disposal of a water purifier business in Greater China to Deerma, a leading household appliance brand in China</w:t>
      </w:r>
    </w:p>
    <w:p w14:paraId="1C75E898" w14:textId="77777777" w:rsidR="004C2361" w:rsidRDefault="004C2361" w:rsidP="004C236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Goldman Sachs in its pre-IPO investment in two PRC-focused real estate developers and in the subsequent restructure of and exit from the investments</w:t>
      </w:r>
    </w:p>
    <w:p w14:paraId="29D2DC80" w14:textId="77777777" w:rsidR="004C2361" w:rsidRDefault="004C2361" w:rsidP="004C236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Och-Ziff in various potential pre-IPO investments, including in a PRC-focused real estate developer and a solar technology company</w:t>
      </w:r>
    </w:p>
    <w:p w14:paraId="29931786" w14:textId="77777777" w:rsidR="004C2361" w:rsidRDefault="004C2361" w:rsidP="004C236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Standard Chartered Private Equity in its pre-IPO investment in Yuanda China Holdings, a high-end building materials company now listed on the Hong Kong Stock Exchange</w:t>
      </w:r>
    </w:p>
    <w:p w14:paraId="387B6692" w14:textId="77777777" w:rsidR="004C2361" w:rsidRDefault="004C2361" w:rsidP="004C236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BBT (帮帮兔) in its joint venture with SF Express to set up a last mile delivery service platform in Hong Kong</w:t>
      </w:r>
    </w:p>
    <w:p w14:paraId="26DC2140" w14:textId="77777777" w:rsidR="004C2361" w:rsidRDefault="004C2361" w:rsidP="004C236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Advised DDC Enterprise Limited, operator of the culinary website DayDayCook, in its Series A and Series A-1 funding rounds, including by Gobi Ventures as manager of the Alibaba Entrepreneurs Fund</w:t>
      </w:r>
    </w:p>
    <w:p w14:paraId="1F2E12C9" w14:textId="77777777" w:rsidR="004C2361" w:rsidRDefault="004C2361" w:rsidP="004C236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RRJ Capital in its pre-IPO investments in three PRC-focused entities: manufacturer of smart credit/debit cards; China franchise of an international hotel chain; and manufacturer of fruit drink and tea beverages</w:t>
      </w:r>
    </w:p>
    <w:p w14:paraId="34D512CC" w14:textId="77777777" w:rsidR="004C2361" w:rsidRDefault="004C2361" w:rsidP="004C236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CITIC Securities International in advising its client in the potential structured stake accumulation in a Malaysian listed company and on its investment and pre-agreed exit options in relation to a PRC financial services company</w:t>
      </w:r>
    </w:p>
    <w:p w14:paraId="6A604029" w14:textId="77777777" w:rsidR="004C2361" w:rsidRDefault="004C2361" w:rsidP="004C236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Advised Mindray Medical in its post-privatisation restructuring and proposed relisting in China</w:t>
      </w:r>
    </w:p>
    <w:p w14:paraId="081A8F38" w14:textId="77777777" w:rsidR="004C2361" w:rsidRDefault="004C2361" w:rsidP="004C236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The Royal Bank of Scotland in the disposal of its banking interests in Asia</w:t>
      </w:r>
    </w:p>
    <w:p w14:paraId="48469020" w14:textId="77777777" w:rsidR="004C2361" w:rsidRDefault="004C2361" w:rsidP="004C236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KPMG, as liquidators of Lehman Brothers, in the management of various portfolio investments</w:t>
      </w:r>
    </w:p>
    <w:p w14:paraId="099A55DA" w14:textId="77777777" w:rsidR="004C2361" w:rsidRDefault="004C2361" w:rsidP="004C236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a consortium of investors, including Och-Ziff, Forum Partners and Highbridge Capital in the restructure of its investment in China New Town Development, a company dual listed on the Hong Kong Stock Exchange and the Singapore Stock Exchange</w:t>
      </w:r>
    </w:p>
    <w:p w14:paraId="0A3AF607" w14:textId="77777777" w:rsidR="004C2361" w:rsidRDefault="004C2361" w:rsidP="004C236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the shareholders of Lloyd George Investment Management Limited in its sale to Bank of Montreal</w:t>
      </w:r>
    </w:p>
    <w:p w14:paraId="3A8DA72C" w14:textId="77777777" w:rsidR="004C2361" w:rsidRDefault="004C2361" w:rsidP="004C236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the shareholders of Josco Holdings, a Hong Kong-based manufacturer of food packaging supplies, in its sale to Huhtamaki Oyj, the Finnish-listed global packaging corporation</w:t>
      </w:r>
    </w:p>
    <w:p w14:paraId="13331F0C" w14:textId="77777777" w:rsidR="004C2361" w:rsidRDefault="004C2361" w:rsidP="004C236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Citi in the sale of its interest in Xihuan Plaza, Beijing, via the sale of a wholly-owned Hong Kong holding company</w:t>
      </w:r>
    </w:p>
    <w:p w14:paraId="46C257F9" w14:textId="77777777" w:rsidR="004C2361" w:rsidRDefault="004C2361" w:rsidP="004C236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Morgan Stanley Asia in the potential acquisition of two PRC focused mining entities</w:t>
      </w:r>
    </w:p>
    <w:p w14:paraId="17E0172C" w14:textId="77777777" w:rsidR="004C2361" w:rsidRDefault="004C2361" w:rsidP="004C236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Meyer Bergman in its acquisition of the Whiteleys shopping centre in Bayswater, London</w:t>
      </w:r>
    </w:p>
    <w:p w14:paraId="70CC1D33" w14:textId="77777777" w:rsidR="004C2361" w:rsidRDefault="004C2361" w:rsidP="004C236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Advised China Resources Land on its proposed joint venture with an international sovereign wealth fund to establish a US $2 billion China-focused real estate investment platform</w:t>
      </w:r>
    </w:p>
    <w:p w14:paraId="04C2F3B4" w14:textId="77777777" w:rsidR="004C2361" w:rsidRDefault="004C2361" w:rsidP="004C236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Advised IDI Gazeley, a subsidiary of the Brookfield Property Group on its proposed joint venture with Zeny Supply Chain, a member of the Legend Holdings group, to design and construct a built-to-spec logistics hub for a retailer in China</w:t>
      </w:r>
    </w:p>
    <w:p w14:paraId="49D8C144" w14:textId="77777777" w:rsidR="004C2361" w:rsidRDefault="004C2361" w:rsidP="004C236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Citi in its negotiations with developers to construct and lease to Citi its future regional headquarters in two South East Asian hubs</w:t>
      </w:r>
    </w:p>
    <w:p w14:paraId="7A5B1AD7" w14:textId="77777777" w:rsidR="004C2361" w:rsidRDefault="004C2361" w:rsidP="004C236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Acting for Hong Kong Land in its development of a prime commercial site in Wangfujing, Beijing</w:t>
      </w:r>
    </w:p>
    <w:p w14:paraId="059583AC" w14:textId="77777777" w:rsidR="004C2361" w:rsidRDefault="004C2361" w:rsidP="004C2361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Advised Shenzhen Energy Corporation in its proposed construction and operation of a hydropower plant in a developing country in South East Asia</w:t>
      </w:r>
    </w:p>
    <w:p w14:paraId="7D69EEA9" w14:textId="77777777" w:rsidR="004C2361" w:rsidRDefault="004C2361" w:rsidP="004C2361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a PRC-based investor in the establishment of a joint venture with one of the largest LNG suppliers in the world and a Russian-backed commodities trading conglomerate in order to explore opportunities to market and sell Russian-extracted LNG to Chinese purchasers</w:t>
      </w:r>
    </w:p>
    <w:p w14:paraId="11E9C84A" w14:textId="77777777" w:rsidR="004C2361" w:rsidRDefault="004C2361" w:rsidP="004C2361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Acted for China Merchants Holdings in its joint venture to build and operate certain infrastructure assets in the Republic of Djibouti</w:t>
      </w:r>
    </w:p>
    <w:p w14:paraId="5C1CDA63" w14:textId="77777777" w:rsidR="004C2361" w:rsidRDefault="004C2361" w:rsidP="004C23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2361">
        <w:rPr>
          <w:rFonts w:ascii="等线" w:eastAsia="等线" w:hAnsi="等线"/>
          <w:b/>
          <w:sz w:val="24"/>
        </w:rPr>
        <w:t>Education</w:t>
      </w:r>
    </w:p>
    <w:p w14:paraId="38163F3A" w14:textId="77777777" w:rsidR="004C2361" w:rsidRDefault="004C2361" w:rsidP="004C2361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University of Sydney, Sydney, Australia, Masters of Law</w:t>
      </w:r>
    </w:p>
    <w:p w14:paraId="00CD4156" w14:textId="77777777" w:rsidR="004C2361" w:rsidRDefault="004C2361" w:rsidP="004C2361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University of Sydney, Sydney, Australia, LL.B (Honors)</w:t>
      </w:r>
    </w:p>
    <w:p w14:paraId="1C6EE2D1" w14:textId="77777777" w:rsidR="004C2361" w:rsidRDefault="004C2361" w:rsidP="004C2361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University of Sydney, Sydney, Australia, Bachelor of Commerce</w:t>
      </w:r>
    </w:p>
    <w:p w14:paraId="3E95B9EB" w14:textId="77777777" w:rsidR="004C2361" w:rsidRDefault="004C2361" w:rsidP="004C23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2361">
        <w:rPr>
          <w:rFonts w:ascii="等线" w:eastAsia="等线" w:hAnsi="等线"/>
          <w:b/>
          <w:sz w:val="24"/>
        </w:rPr>
        <w:t>Professional Qualification</w:t>
      </w:r>
    </w:p>
    <w:p w14:paraId="4E8CC69C" w14:textId="77777777" w:rsidR="004C2361" w:rsidRDefault="004C2361" w:rsidP="004C2361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Admitted to practice in New South Wales (Australia)</w:t>
      </w:r>
    </w:p>
    <w:p w14:paraId="106613DE" w14:textId="77777777" w:rsidR="004C2361" w:rsidRDefault="004C2361" w:rsidP="004C2361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Admitted to practice in Hong Kong SAR</w:t>
      </w:r>
    </w:p>
    <w:p w14:paraId="71B686ED" w14:textId="77777777" w:rsidR="004C2361" w:rsidRDefault="004C2361" w:rsidP="004C23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2361">
        <w:rPr>
          <w:rFonts w:ascii="等线" w:eastAsia="等线" w:hAnsi="等线"/>
          <w:b/>
          <w:sz w:val="24"/>
        </w:rPr>
        <w:t>Work Language</w:t>
      </w:r>
    </w:p>
    <w:p w14:paraId="01DF77BD" w14:textId="77777777" w:rsidR="004C2361" w:rsidRDefault="004C2361" w:rsidP="004C2361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Mandarin</w:t>
      </w:r>
    </w:p>
    <w:p w14:paraId="32631785" w14:textId="77777777" w:rsidR="004C2361" w:rsidRDefault="004C2361" w:rsidP="004C2361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Cantonese</w:t>
      </w:r>
    </w:p>
    <w:p w14:paraId="07FB8334" w14:textId="77777777" w:rsidR="004C2361" w:rsidRDefault="004C2361" w:rsidP="004C2361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English</w:t>
      </w:r>
    </w:p>
    <w:p w14:paraId="52218C4A" w14:textId="77777777" w:rsidR="004C2361" w:rsidRDefault="004C2361" w:rsidP="004C23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2361">
        <w:rPr>
          <w:rFonts w:ascii="等线" w:eastAsia="等线" w:hAnsi="等线"/>
          <w:b/>
          <w:sz w:val="24"/>
        </w:rPr>
        <w:t>Professional Background</w:t>
      </w:r>
    </w:p>
    <w:p w14:paraId="5567FC3C" w14:textId="6C0FCCB8" w:rsidR="00686369" w:rsidRPr="004C2361" w:rsidRDefault="004C2361" w:rsidP="004C2361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2361">
        <w:rPr>
          <w:rFonts w:ascii="等线" w:eastAsia="等线" w:hAnsi="Times New Roman"/>
          <w:color w:val="000000"/>
        </w:rPr>
        <w:t>Before joining Fangda Partners, Mr. Chan worked at several leading international law firms, including Linklaters, Berwin Leighton Paisner (HK) LLP and Deacons Australia (now Norton Rose Fulbright Australia).</w:t>
      </w:r>
    </w:p>
    <w:sectPr w:rsidR="00686369" w:rsidRPr="004C236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C4DD9"/>
    <w:multiLevelType w:val="singleLevel"/>
    <w:tmpl w:val="D9F40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DE76BB"/>
    <w:multiLevelType w:val="singleLevel"/>
    <w:tmpl w:val="3F4A5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190913"/>
    <w:multiLevelType w:val="singleLevel"/>
    <w:tmpl w:val="B03ED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CC01F1"/>
    <w:multiLevelType w:val="singleLevel"/>
    <w:tmpl w:val="AA180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0D184A"/>
    <w:multiLevelType w:val="singleLevel"/>
    <w:tmpl w:val="792AC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B31E84"/>
    <w:multiLevelType w:val="singleLevel"/>
    <w:tmpl w:val="35D0C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7B6CE8"/>
    <w:multiLevelType w:val="singleLevel"/>
    <w:tmpl w:val="93328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9C59A5"/>
    <w:multiLevelType w:val="singleLevel"/>
    <w:tmpl w:val="9C1EB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BC0A6E"/>
    <w:multiLevelType w:val="singleLevel"/>
    <w:tmpl w:val="A4DAB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FE00B7"/>
    <w:multiLevelType w:val="singleLevel"/>
    <w:tmpl w:val="5C942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6046F5"/>
    <w:multiLevelType w:val="singleLevel"/>
    <w:tmpl w:val="C1C07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CCE3C8E"/>
    <w:multiLevelType w:val="singleLevel"/>
    <w:tmpl w:val="A70AD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F5B2B23"/>
    <w:multiLevelType w:val="singleLevel"/>
    <w:tmpl w:val="2BA02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34B231E"/>
    <w:multiLevelType w:val="singleLevel"/>
    <w:tmpl w:val="EEFE2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5013FE1"/>
    <w:multiLevelType w:val="singleLevel"/>
    <w:tmpl w:val="BE30B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5A61469"/>
    <w:multiLevelType w:val="singleLevel"/>
    <w:tmpl w:val="E3D61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1C63154"/>
    <w:multiLevelType w:val="singleLevel"/>
    <w:tmpl w:val="55D8C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2AA5E28"/>
    <w:multiLevelType w:val="singleLevel"/>
    <w:tmpl w:val="D4AAF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2ED5CC4"/>
    <w:multiLevelType w:val="singleLevel"/>
    <w:tmpl w:val="6A5A6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58F6140"/>
    <w:multiLevelType w:val="singleLevel"/>
    <w:tmpl w:val="6A5A6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46F3201D"/>
    <w:multiLevelType w:val="singleLevel"/>
    <w:tmpl w:val="D81AD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7026691"/>
    <w:multiLevelType w:val="singleLevel"/>
    <w:tmpl w:val="56A6B0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74F7370"/>
    <w:multiLevelType w:val="singleLevel"/>
    <w:tmpl w:val="6DD27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7D21546"/>
    <w:multiLevelType w:val="singleLevel"/>
    <w:tmpl w:val="355A0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DCE0E18"/>
    <w:multiLevelType w:val="singleLevel"/>
    <w:tmpl w:val="85404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F814FAE"/>
    <w:multiLevelType w:val="singleLevel"/>
    <w:tmpl w:val="CBA28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27518BD"/>
    <w:multiLevelType w:val="singleLevel"/>
    <w:tmpl w:val="9E6282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AB22247"/>
    <w:multiLevelType w:val="singleLevel"/>
    <w:tmpl w:val="558C3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070024B"/>
    <w:multiLevelType w:val="singleLevel"/>
    <w:tmpl w:val="6F9AF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13B50DC"/>
    <w:multiLevelType w:val="singleLevel"/>
    <w:tmpl w:val="60C04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3381E28"/>
    <w:multiLevelType w:val="singleLevel"/>
    <w:tmpl w:val="CDB07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9E83BDC"/>
    <w:multiLevelType w:val="singleLevel"/>
    <w:tmpl w:val="60AE80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C635A1A"/>
    <w:multiLevelType w:val="singleLevel"/>
    <w:tmpl w:val="39724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DF6552C"/>
    <w:multiLevelType w:val="singleLevel"/>
    <w:tmpl w:val="A8626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25D3AB0"/>
    <w:multiLevelType w:val="singleLevel"/>
    <w:tmpl w:val="7F8A69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43565E1"/>
    <w:multiLevelType w:val="singleLevel"/>
    <w:tmpl w:val="C242F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4912BA4"/>
    <w:multiLevelType w:val="singleLevel"/>
    <w:tmpl w:val="66322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80940A4"/>
    <w:multiLevelType w:val="singleLevel"/>
    <w:tmpl w:val="11F06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C3B24C2"/>
    <w:multiLevelType w:val="singleLevel"/>
    <w:tmpl w:val="CD908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E1D75FE"/>
    <w:multiLevelType w:val="singleLevel"/>
    <w:tmpl w:val="6AA6D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E625403"/>
    <w:multiLevelType w:val="singleLevel"/>
    <w:tmpl w:val="27009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FAB1621"/>
    <w:multiLevelType w:val="singleLevel"/>
    <w:tmpl w:val="BC34A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1"/>
  </w:num>
  <w:num w:numId="3">
    <w:abstractNumId w:val="33"/>
  </w:num>
  <w:num w:numId="4">
    <w:abstractNumId w:val="31"/>
  </w:num>
  <w:num w:numId="5">
    <w:abstractNumId w:val="7"/>
  </w:num>
  <w:num w:numId="6">
    <w:abstractNumId w:val="28"/>
  </w:num>
  <w:num w:numId="7">
    <w:abstractNumId w:val="9"/>
  </w:num>
  <w:num w:numId="8">
    <w:abstractNumId w:val="0"/>
  </w:num>
  <w:num w:numId="9">
    <w:abstractNumId w:val="42"/>
  </w:num>
  <w:num w:numId="10">
    <w:abstractNumId w:val="15"/>
  </w:num>
  <w:num w:numId="11">
    <w:abstractNumId w:val="11"/>
  </w:num>
  <w:num w:numId="12">
    <w:abstractNumId w:val="10"/>
  </w:num>
  <w:num w:numId="13">
    <w:abstractNumId w:val="30"/>
  </w:num>
  <w:num w:numId="14">
    <w:abstractNumId w:val="43"/>
  </w:num>
  <w:num w:numId="15">
    <w:abstractNumId w:val="4"/>
  </w:num>
  <w:num w:numId="16">
    <w:abstractNumId w:val="23"/>
  </w:num>
  <w:num w:numId="17">
    <w:abstractNumId w:val="22"/>
  </w:num>
  <w:num w:numId="18">
    <w:abstractNumId w:val="26"/>
  </w:num>
  <w:num w:numId="19">
    <w:abstractNumId w:val="1"/>
  </w:num>
  <w:num w:numId="20">
    <w:abstractNumId w:val="34"/>
  </w:num>
  <w:num w:numId="21">
    <w:abstractNumId w:val="36"/>
  </w:num>
  <w:num w:numId="22">
    <w:abstractNumId w:val="3"/>
  </w:num>
  <w:num w:numId="23">
    <w:abstractNumId w:val="5"/>
  </w:num>
  <w:num w:numId="24">
    <w:abstractNumId w:val="12"/>
  </w:num>
  <w:num w:numId="25">
    <w:abstractNumId w:val="13"/>
  </w:num>
  <w:num w:numId="26">
    <w:abstractNumId w:val="39"/>
  </w:num>
  <w:num w:numId="27">
    <w:abstractNumId w:val="37"/>
  </w:num>
  <w:num w:numId="28">
    <w:abstractNumId w:val="17"/>
  </w:num>
  <w:num w:numId="29">
    <w:abstractNumId w:val="40"/>
  </w:num>
  <w:num w:numId="30">
    <w:abstractNumId w:val="35"/>
  </w:num>
  <w:num w:numId="31">
    <w:abstractNumId w:val="14"/>
  </w:num>
  <w:num w:numId="32">
    <w:abstractNumId w:val="18"/>
  </w:num>
  <w:num w:numId="33">
    <w:abstractNumId w:val="24"/>
  </w:num>
  <w:num w:numId="34">
    <w:abstractNumId w:val="32"/>
  </w:num>
  <w:num w:numId="35">
    <w:abstractNumId w:val="2"/>
  </w:num>
  <w:num w:numId="36">
    <w:abstractNumId w:val="25"/>
  </w:num>
  <w:num w:numId="37">
    <w:abstractNumId w:val="27"/>
  </w:num>
  <w:num w:numId="38">
    <w:abstractNumId w:val="8"/>
  </w:num>
  <w:num w:numId="39">
    <w:abstractNumId w:val="29"/>
  </w:num>
  <w:num w:numId="40">
    <w:abstractNumId w:val="38"/>
  </w:num>
  <w:num w:numId="41">
    <w:abstractNumId w:val="6"/>
  </w:num>
  <w:num w:numId="42">
    <w:abstractNumId w:val="41"/>
  </w:num>
  <w:num w:numId="43">
    <w:abstractNumId w:val="20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C2361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C236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C236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AA55AB-2996-470E-9A7E-9FAB3CF7C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2026-09-17T20:58:00Z</dcterms:created>
  <dcterms:modified xsi:type="dcterms:W3CDTF">2026-09-17T20:58:00Z</dcterms:modified>
</cp:coreProperties>
</file>