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ED6C2F1" w:rsidR="0049405C" w:rsidRPr="00C24D79" w:rsidRDefault="00DD1B62" w:rsidP="00DD1B6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DD1B62">
              <w:rPr>
                <w:rFonts w:ascii="等线" w:eastAsia="等线" w:hAnsi="Times New Roman"/>
                <w:b/>
                <w:color w:val="000000"/>
                <w:sz w:val="48"/>
              </w:rPr>
              <w:t>ZHUAN JIANG</w:t>
            </w:r>
            <w:bookmarkEnd w:id="0"/>
          </w:p>
          <w:p w14:paraId="706EB16B" w14:textId="10019E6D" w:rsidR="0049405C" w:rsidRPr="00C24D79" w:rsidRDefault="00DD1B62" w:rsidP="00DD1B6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DD1B62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DD1B6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DD1B62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29276D47" w:rsidR="0049405C" w:rsidRPr="00C24D79" w:rsidRDefault="00DD1B62" w:rsidP="00DD1B6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DD1B62">
              <w:rPr>
                <w:rFonts w:ascii="等线" w:eastAsia="等线" w:hAnsi="Times New Roman"/>
                <w:color w:val="000000"/>
              </w:rPr>
              <w:t xml:space="preserve">+86 10 5769 4209 </w:t>
            </w:r>
            <w:bookmarkEnd w:id="3"/>
          </w:p>
          <w:p w14:paraId="4F910ACA" w14:textId="689800AD" w:rsidR="0049405C" w:rsidRPr="00C24D79" w:rsidRDefault="00DD1B62" w:rsidP="00DD1B6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DD1B62">
              <w:rPr>
                <w:rFonts w:ascii="等线" w:eastAsia="等线" w:hAnsi="Times New Roman"/>
                <w:color w:val="000000"/>
              </w:rPr>
              <w:t>zhuan.jiang@fangdalaw.com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C02715B" w:rsidR="0049405C" w:rsidRPr="00C24D79" w:rsidRDefault="00DD1B6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4C377D6" wp14:editId="078C51DB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A5EDC6B" w:rsidR="009465FB" w:rsidRPr="00C24D79" w:rsidRDefault="00DD1B6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DD1B62">
              <w:rPr>
                <w:rFonts w:ascii="等线" w:eastAsia="等线" w:hAnsi="Times New Roman"/>
                <w:color w:val="000000"/>
                <w:szCs w:val="21"/>
              </w:rPr>
              <w:t>MR. JIANG SPECIALIZES IN ASSETS MANAGEMENT, CAPITAL MARKETS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FF4F8F4" w14:textId="77777777" w:rsidR="00DD1B6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78D729B" w14:textId="77777777" w:rsidR="00DD1B62" w:rsidRDefault="00DD1B62" w:rsidP="00DD1B6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D1B62">
        <w:rPr>
          <w:rFonts w:ascii="等线" w:eastAsia="等线" w:hAnsi="等线"/>
          <w:b/>
          <w:sz w:val="24"/>
        </w:rPr>
        <w:t>REPRESENTATIVE MATTERS AND CASES</w:t>
      </w:r>
    </w:p>
    <w:p w14:paraId="1D07B657" w14:textId="77777777" w:rsidR="00DD1B62" w:rsidRDefault="00DD1B62" w:rsidP="00DD1B62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7DCE0B4E" w14:textId="77777777" w:rsidR="00DD1B62" w:rsidRDefault="00DD1B62" w:rsidP="00DD1B6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1B62">
        <w:rPr>
          <w:rFonts w:ascii="等线" w:eastAsia="等线" w:hAnsi="Times New Roman"/>
          <w:color w:val="000000"/>
        </w:rPr>
        <w:t>Represented Ant Finance, CSCEC, MCC, CEC, CICC, CMS, Sinolink Securities, China Unicom, CFLD, Qudian, Lakala, CCCC, China National Medical Device, CR Pharm and Sunshine 100 in their ABS on receivables</w:t>
      </w:r>
    </w:p>
    <w:p w14:paraId="36A82014" w14:textId="77777777" w:rsidR="00DD1B62" w:rsidRDefault="00DD1B62" w:rsidP="00DD1B6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1B62">
        <w:rPr>
          <w:rFonts w:ascii="等线" w:eastAsia="等线" w:hAnsi="Times New Roman"/>
          <w:color w:val="000000"/>
        </w:rPr>
        <w:t>Represented Ping An Asset Management, Taikang Asset Management, Zhongyi Asset Management, CITIC Prudential and other asset management institutions in their investment projects</w:t>
      </w:r>
    </w:p>
    <w:p w14:paraId="44610AB4" w14:textId="77777777" w:rsidR="00DD1B62" w:rsidRDefault="00DD1B62" w:rsidP="00DD1B6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1B62">
        <w:rPr>
          <w:rFonts w:ascii="等线" w:eastAsia="等线" w:hAnsi="Times New Roman"/>
          <w:color w:val="000000"/>
        </w:rPr>
        <w:t>Represented CITICHMC in its acquisition and restructuring of Tangshan Kaicheng</w:t>
      </w:r>
    </w:p>
    <w:p w14:paraId="480930B9" w14:textId="77777777" w:rsidR="00DD1B62" w:rsidRDefault="00DD1B62" w:rsidP="00DD1B6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1B62">
        <w:rPr>
          <w:rFonts w:ascii="等线" w:eastAsia="等线" w:hAnsi="Times New Roman"/>
          <w:color w:val="000000"/>
        </w:rPr>
        <w:t>Represented SGGF in its acquisition and restructuring of Jingtang Steel</w:t>
      </w:r>
    </w:p>
    <w:p w14:paraId="25330B27" w14:textId="77777777" w:rsidR="00DD1B62" w:rsidRDefault="00DD1B62" w:rsidP="00DD1B6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1B62">
        <w:rPr>
          <w:rFonts w:ascii="等线" w:eastAsia="等线" w:hAnsi="Times New Roman"/>
          <w:color w:val="000000"/>
        </w:rPr>
        <w:t>Represented Alibaba, CITICPE, and Founder in their investment projects</w:t>
      </w:r>
    </w:p>
    <w:p w14:paraId="2B920503" w14:textId="77777777" w:rsidR="00DD1B62" w:rsidRDefault="00DD1B62" w:rsidP="00DD1B6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D1B62">
        <w:rPr>
          <w:rFonts w:ascii="等线" w:eastAsia="等线" w:hAnsi="等线"/>
          <w:b/>
          <w:sz w:val="24"/>
        </w:rPr>
        <w:t>Education</w:t>
      </w:r>
    </w:p>
    <w:p w14:paraId="5650BCB3" w14:textId="77777777" w:rsidR="00DD1B62" w:rsidRDefault="00DD1B62" w:rsidP="00DD1B6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1B62">
        <w:rPr>
          <w:rFonts w:ascii="等线" w:eastAsia="等线" w:hAnsi="Times New Roman"/>
          <w:color w:val="000000"/>
        </w:rPr>
        <w:t>China University of Political Science and Law, LL.B</w:t>
      </w:r>
    </w:p>
    <w:p w14:paraId="276E40C0" w14:textId="77777777" w:rsidR="00DD1B62" w:rsidRDefault="00DD1B62" w:rsidP="00DD1B6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D1B62">
        <w:rPr>
          <w:rFonts w:ascii="等线" w:eastAsia="等线" w:hAnsi="等线"/>
          <w:b/>
          <w:sz w:val="24"/>
        </w:rPr>
        <w:t>Professional Qualification</w:t>
      </w:r>
    </w:p>
    <w:p w14:paraId="0A582EA4" w14:textId="77777777" w:rsidR="00DD1B62" w:rsidRDefault="00DD1B62" w:rsidP="00DD1B6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1B62">
        <w:rPr>
          <w:rFonts w:ascii="等线" w:eastAsia="等线" w:hAnsi="Times New Roman"/>
          <w:color w:val="000000"/>
        </w:rPr>
        <w:t>Admitted to practice in the PRC</w:t>
      </w:r>
    </w:p>
    <w:p w14:paraId="379D04E6" w14:textId="77777777" w:rsidR="00DD1B62" w:rsidRDefault="00DD1B62" w:rsidP="00DD1B6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D1B62">
        <w:rPr>
          <w:rFonts w:ascii="等线" w:eastAsia="等线" w:hAnsi="等线"/>
          <w:b/>
          <w:sz w:val="24"/>
        </w:rPr>
        <w:t>Professional Background</w:t>
      </w:r>
    </w:p>
    <w:p w14:paraId="5567FC3C" w14:textId="1DD1C087" w:rsidR="00686369" w:rsidRPr="00DD1B62" w:rsidRDefault="00DD1B62" w:rsidP="00DD1B6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1B62">
        <w:rPr>
          <w:rFonts w:ascii="等线" w:eastAsia="等线" w:hAnsi="Times New Roman"/>
          <w:color w:val="000000"/>
        </w:rPr>
        <w:t>Mr. Jiang joined the firm in 2015. Before joining the firm, he worked at a reputable Chinese law firm for three years.</w:t>
      </w:r>
    </w:p>
    <w:sectPr w:rsidR="00686369" w:rsidRPr="00DD1B6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12298"/>
    <w:multiLevelType w:val="singleLevel"/>
    <w:tmpl w:val="59B845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C67034B"/>
    <w:multiLevelType w:val="singleLevel"/>
    <w:tmpl w:val="6122C0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FAA292C"/>
    <w:multiLevelType w:val="singleLevel"/>
    <w:tmpl w:val="49D24E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48036FFC"/>
    <w:multiLevelType w:val="singleLevel"/>
    <w:tmpl w:val="7EC83C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655A074B"/>
    <w:multiLevelType w:val="singleLevel"/>
    <w:tmpl w:val="25A6BB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68D5787C"/>
    <w:multiLevelType w:val="singleLevel"/>
    <w:tmpl w:val="60E0E8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6F5E296B"/>
    <w:multiLevelType w:val="singleLevel"/>
    <w:tmpl w:val="25A6BB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70E13121"/>
    <w:multiLevelType w:val="singleLevel"/>
    <w:tmpl w:val="4B2EB8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7CE6633F"/>
    <w:multiLevelType w:val="singleLevel"/>
    <w:tmpl w:val="709ECE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10"/>
  </w:num>
  <w:num w:numId="5">
    <w:abstractNumId w:val="7"/>
  </w:num>
  <w:num w:numId="6">
    <w:abstractNumId w:val="0"/>
  </w:num>
  <w:num w:numId="7">
    <w:abstractNumId w:val="9"/>
  </w:num>
  <w:num w:numId="8">
    <w:abstractNumId w:val="2"/>
  </w:num>
  <w:num w:numId="9">
    <w:abstractNumId w:val="5"/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1B62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D1B6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D1B6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8EA140E-4192-40AB-A4CF-2E5D4C916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2026-09-17T20:58:00Z</dcterms:created>
  <dcterms:modified xsi:type="dcterms:W3CDTF">2026-09-17T20:58:00Z</dcterms:modified>
</cp:coreProperties>
</file>