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B30676E" w:rsidR="0049405C" w:rsidRPr="00C24D79" w:rsidRDefault="000E56C8" w:rsidP="000E56C8">
            <w:pPr>
              <w:spacing w:line="720" w:lineRule="auto"/>
              <w:rPr>
                <w:rFonts w:eastAsiaTheme="minorHAnsi"/>
                <w:color w:val="545551"/>
              </w:rPr>
            </w:pPr>
            <w:bookmarkStart w:id="0" w:name="xingming"/>
            <w:bookmarkStart w:id="1" w:name="_GoBack"/>
            <w:bookmarkEnd w:id="1"/>
            <w:r w:rsidRPr="000E56C8">
              <w:rPr>
                <w:rFonts w:ascii="等线" w:eastAsia="等线" w:hAnsi="Times New Roman"/>
                <w:b/>
                <w:color w:val="000000"/>
                <w:sz w:val="48"/>
              </w:rPr>
              <w:t>ZHIYI REN</w:t>
            </w:r>
            <w:bookmarkEnd w:id="0"/>
          </w:p>
          <w:p w14:paraId="706EB16B" w14:textId="2AFCAFA5" w:rsidR="0049405C" w:rsidRPr="00C24D79" w:rsidRDefault="000E56C8" w:rsidP="000E56C8">
            <w:pPr>
              <w:spacing w:line="360" w:lineRule="auto"/>
              <w:rPr>
                <w:rFonts w:eastAsiaTheme="minorHAnsi"/>
                <w:b/>
                <w:bCs/>
                <w:color w:val="545551"/>
              </w:rPr>
            </w:pPr>
            <w:bookmarkStart w:id="2" w:name="didian"/>
            <w:r w:rsidRPr="000E56C8">
              <w:rPr>
                <w:rFonts w:ascii="等线" w:eastAsia="等线" w:hAnsi="Times New Roman"/>
                <w:b/>
                <w:bCs/>
                <w:color w:val="000000"/>
              </w:rPr>
              <w:t>Partner</w:t>
            </w:r>
            <w:r w:rsidRPr="000E56C8">
              <w:rPr>
                <w:rFonts w:ascii="等线" w:eastAsia="等线" w:hAnsi="Times New Roman"/>
                <w:b/>
                <w:bCs/>
                <w:color w:val="000000"/>
              </w:rPr>
              <w:t>·</w:t>
            </w:r>
            <w:r w:rsidRPr="000E56C8">
              <w:rPr>
                <w:rFonts w:ascii="等线" w:eastAsia="等线" w:hAnsi="Times New Roman"/>
                <w:b/>
                <w:bCs/>
                <w:color w:val="000000"/>
              </w:rPr>
              <w:t>Shanghai</w:t>
            </w:r>
            <w:bookmarkEnd w:id="2"/>
          </w:p>
          <w:p w14:paraId="6199424A" w14:textId="3AEB07C3" w:rsidR="0049405C" w:rsidRPr="00C24D79" w:rsidRDefault="000E56C8" w:rsidP="000E56C8">
            <w:pPr>
              <w:spacing w:line="360" w:lineRule="auto"/>
              <w:rPr>
                <w:rFonts w:eastAsiaTheme="minorHAnsi"/>
                <w:color w:val="545551"/>
              </w:rPr>
            </w:pPr>
            <w:bookmarkStart w:id="3" w:name="dianhua"/>
            <w:r w:rsidRPr="000E56C8">
              <w:rPr>
                <w:rFonts w:ascii="等线" w:eastAsia="等线" w:hAnsi="Times New Roman"/>
                <w:color w:val="000000"/>
              </w:rPr>
              <w:t xml:space="preserve">+86 21 2208 1066 </w:t>
            </w:r>
            <w:bookmarkEnd w:id="3"/>
          </w:p>
          <w:p w14:paraId="4F910ACA" w14:textId="65958DDE" w:rsidR="0049405C" w:rsidRPr="00C24D79" w:rsidRDefault="000E56C8" w:rsidP="000E56C8">
            <w:pPr>
              <w:spacing w:line="360" w:lineRule="auto"/>
              <w:rPr>
                <w:rFonts w:eastAsiaTheme="minorHAnsi"/>
                <w:color w:val="000000"/>
              </w:rPr>
            </w:pPr>
            <w:bookmarkStart w:id="4" w:name="youxiang"/>
            <w:r w:rsidRPr="000E56C8">
              <w:rPr>
                <w:rFonts w:ascii="等线" w:eastAsia="等线" w:hAnsi="Times New Roman"/>
                <w:color w:val="000000"/>
              </w:rPr>
              <w:t>zhiyi.ren@fangdalaw.com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81988E5" w:rsidR="0049405C" w:rsidRPr="00C24D79" w:rsidRDefault="000E56C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A591D4" wp14:editId="689290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47F8990" w:rsidR="009465FB" w:rsidRPr="00C24D79" w:rsidRDefault="000E56C8" w:rsidP="007177F3">
            <w:pPr>
              <w:rPr>
                <w:rFonts w:eastAsiaTheme="minorHAnsi"/>
                <w:color w:val="000000"/>
                <w:szCs w:val="21"/>
              </w:rPr>
            </w:pPr>
            <w:bookmarkStart w:id="6" w:name="zhiyelingyu"/>
            <w:r w:rsidRPr="000E56C8">
              <w:rPr>
                <w:rFonts w:ascii="等线" w:eastAsia="等线" w:hAnsi="Times New Roman"/>
                <w:color w:val="000000"/>
                <w:szCs w:val="21"/>
              </w:rPr>
              <w:t xml:space="preserve">ZHIYI IS A LEADING REGULATORY LAWYER IN CHINA, SPECIALIZING IN REGULATORY, FINANCIAL MARKETS, FUND PRODUCTS AND M&amp;A TRANSACTIONS IN THE FINANCIAL SECTOR. SINCE 2003, HE HAS PROVIDED LEGAL SERVICES TO MULTINATIONAL FINANCIAL INSTITUTIONS AND MULTINATIONAL ASSET MANAGERS IN SUCH AREAS AS ENTITY ESTABLISHMENT, PRODUCTS, COMPLIANCE, REGULATORY INVESTIGATIONS, CRISIS MANAGEMENT AND CROSS-BORDER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5E2000" w14:textId="77777777" w:rsidR="000E56C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90AF61" w14:textId="77777777" w:rsidR="000E56C8" w:rsidRDefault="000E56C8" w:rsidP="000E56C8">
      <w:pPr>
        <w:pStyle w:val="af5"/>
        <w:spacing w:after="0" w:line="480" w:lineRule="auto"/>
        <w:rPr>
          <w:rFonts w:ascii="等线" w:eastAsia="等线" w:hAnsi="等线"/>
          <w:b/>
          <w:sz w:val="24"/>
        </w:rPr>
      </w:pPr>
      <w:r w:rsidRPr="000E56C8">
        <w:rPr>
          <w:rFonts w:ascii="等线" w:eastAsia="等线" w:hAnsi="等线"/>
          <w:b/>
          <w:sz w:val="24"/>
        </w:rPr>
        <w:t>REPRESENTATIVE MATTERS AND CASES</w:t>
      </w:r>
    </w:p>
    <w:p w14:paraId="6F47038E" w14:textId="77777777" w:rsidR="000E56C8" w:rsidRDefault="000E56C8" w:rsidP="000E56C8">
      <w:pPr>
        <w:pStyle w:val="af5"/>
        <w:spacing w:before="120"/>
        <w:rPr>
          <w:rFonts w:ascii="等线" w:eastAsia="等线" w:hAnsi="Times New Roman"/>
          <w:color w:val="000000"/>
        </w:rPr>
      </w:pPr>
    </w:p>
    <w:p w14:paraId="21D2EE94" w14:textId="77777777" w:rsidR="000E56C8" w:rsidRDefault="000E56C8" w:rsidP="000E56C8">
      <w:pPr>
        <w:pStyle w:val="af5"/>
        <w:spacing w:before="120"/>
        <w:rPr>
          <w:rFonts w:ascii="等线" w:eastAsia="等线" w:hAnsi="Times New Roman"/>
          <w:color w:val="000000"/>
        </w:rPr>
      </w:pPr>
      <w:r w:rsidRPr="000E56C8">
        <w:rPr>
          <w:rFonts w:ascii="等线" w:eastAsia="等线" w:hAnsi="Times New Roman"/>
          <w:color w:val="000000"/>
        </w:rPr>
        <w:t>Since the new round of opening up of China</w:t>
      </w:r>
      <w:r w:rsidRPr="000E56C8">
        <w:rPr>
          <w:rFonts w:ascii="等线" w:eastAsia="等线" w:hAnsi="Times New Roman"/>
          <w:color w:val="000000"/>
        </w:rPr>
        <w:t>’</w:t>
      </w:r>
      <w:r w:rsidRPr="000E56C8">
        <w:rPr>
          <w:rFonts w:ascii="等线" w:eastAsia="等线" w:hAnsi="Times New Roman"/>
          <w:color w:val="000000"/>
        </w:rPr>
        <w:t>s financial sector in 2018, Zhiyi, as in charge partner, has assisted various offshore financial institutions and asset management companies to set up the groundbreaking first batch of foreign-controlled entities and obtain onshore business permits. During the process, Zhiyi worked with regulators and clients to explore how to implement the relevant regulatory provisions so as to effectively enforce the applicable supervisory and internal control requirements in a reasonable and practical manner. In particular, Zhiyi has advised on:</w:t>
      </w:r>
    </w:p>
    <w:p w14:paraId="6FA65BFD" w14:textId="77777777" w:rsidR="000E56C8" w:rsidRDefault="000E56C8" w:rsidP="000E56C8">
      <w:pPr>
        <w:pStyle w:val="af5"/>
        <w:numPr>
          <w:ilvl w:val="0"/>
          <w:numId w:val="1"/>
        </w:numPr>
        <w:spacing w:before="120"/>
        <w:ind w:left="690" w:hanging="240"/>
        <w:rPr>
          <w:rFonts w:ascii="等线" w:eastAsia="等线" w:hAnsi="Times New Roman"/>
          <w:color w:val="000000"/>
        </w:rPr>
      </w:pPr>
      <w:r w:rsidRPr="000E56C8">
        <w:rPr>
          <w:rFonts w:ascii="等线" w:eastAsia="等线" w:hAnsi="Times New Roman"/>
          <w:color w:val="000000"/>
        </w:rPr>
        <w:t>The first wholly foreign owned securities firm and the first foreign controlled securities firms</w:t>
      </w:r>
    </w:p>
    <w:p w14:paraId="734DFA4A" w14:textId="77777777" w:rsidR="000E56C8" w:rsidRDefault="000E56C8" w:rsidP="000E56C8">
      <w:pPr>
        <w:pStyle w:val="af5"/>
        <w:numPr>
          <w:ilvl w:val="0"/>
          <w:numId w:val="2"/>
        </w:numPr>
        <w:spacing w:before="120"/>
        <w:ind w:left="690" w:hanging="240"/>
        <w:rPr>
          <w:rFonts w:ascii="等线" w:eastAsia="等线" w:hAnsi="Times New Roman"/>
          <w:color w:val="000000"/>
        </w:rPr>
      </w:pPr>
      <w:r w:rsidRPr="000E56C8">
        <w:rPr>
          <w:rFonts w:ascii="等线" w:eastAsia="等线" w:hAnsi="Times New Roman"/>
          <w:color w:val="000000"/>
        </w:rPr>
        <w:t>The first wholly foreign owned futures firm</w:t>
      </w:r>
    </w:p>
    <w:p w14:paraId="2F885D57" w14:textId="77777777" w:rsidR="000E56C8" w:rsidRDefault="000E56C8" w:rsidP="000E56C8">
      <w:pPr>
        <w:pStyle w:val="af5"/>
        <w:numPr>
          <w:ilvl w:val="0"/>
          <w:numId w:val="3"/>
        </w:numPr>
        <w:spacing w:before="120"/>
        <w:ind w:left="690" w:hanging="240"/>
        <w:rPr>
          <w:rFonts w:ascii="等线" w:eastAsia="等线" w:hAnsi="Times New Roman"/>
          <w:color w:val="000000"/>
        </w:rPr>
      </w:pPr>
      <w:r w:rsidRPr="000E56C8">
        <w:rPr>
          <w:rFonts w:ascii="等线" w:eastAsia="等线" w:hAnsi="Times New Roman"/>
          <w:color w:val="000000"/>
        </w:rPr>
        <w:t>The first foreign invested bank wealth management subsidiary</w:t>
      </w:r>
    </w:p>
    <w:p w14:paraId="4AD2699F" w14:textId="77777777" w:rsidR="000E56C8" w:rsidRDefault="000E56C8" w:rsidP="000E56C8">
      <w:pPr>
        <w:pStyle w:val="af5"/>
        <w:numPr>
          <w:ilvl w:val="0"/>
          <w:numId w:val="4"/>
        </w:numPr>
        <w:spacing w:before="120"/>
        <w:ind w:left="690" w:hanging="240"/>
        <w:rPr>
          <w:rFonts w:ascii="等线" w:eastAsia="等线" w:hAnsi="Times New Roman"/>
          <w:color w:val="000000"/>
        </w:rPr>
      </w:pPr>
      <w:r w:rsidRPr="000E56C8">
        <w:rPr>
          <w:rFonts w:ascii="等线" w:eastAsia="等线" w:hAnsi="Times New Roman"/>
          <w:color w:val="000000"/>
        </w:rPr>
        <w:t>The first case of the acquisition of a majority stake in a public fund management company by its foreign shareholder through the public listing process</w:t>
      </w:r>
    </w:p>
    <w:p w14:paraId="41CD4419" w14:textId="77777777" w:rsidR="000E56C8" w:rsidRDefault="000E56C8" w:rsidP="000E56C8">
      <w:pPr>
        <w:pStyle w:val="af5"/>
        <w:numPr>
          <w:ilvl w:val="0"/>
          <w:numId w:val="5"/>
        </w:numPr>
        <w:spacing w:before="120"/>
        <w:ind w:left="690" w:hanging="240"/>
        <w:rPr>
          <w:rFonts w:ascii="等线" w:eastAsia="等线" w:hAnsi="Times New Roman"/>
          <w:color w:val="000000"/>
        </w:rPr>
      </w:pPr>
      <w:r w:rsidRPr="000E56C8">
        <w:rPr>
          <w:rFonts w:ascii="等线" w:eastAsia="等线" w:hAnsi="Times New Roman"/>
          <w:color w:val="000000"/>
        </w:rPr>
        <w:t>The first case of foreign shareholder becoming single largest shareholder in a public fund management company</w:t>
      </w:r>
    </w:p>
    <w:p w14:paraId="35A92D5F" w14:textId="77777777" w:rsidR="000E56C8" w:rsidRDefault="000E56C8" w:rsidP="000E56C8">
      <w:pPr>
        <w:pStyle w:val="af5"/>
        <w:numPr>
          <w:ilvl w:val="0"/>
          <w:numId w:val="6"/>
        </w:numPr>
        <w:spacing w:before="120"/>
        <w:ind w:left="690" w:hanging="240"/>
        <w:rPr>
          <w:rFonts w:ascii="等线" w:eastAsia="等线" w:hAnsi="Times New Roman"/>
          <w:color w:val="000000"/>
        </w:rPr>
      </w:pPr>
      <w:r w:rsidRPr="000E56C8">
        <w:rPr>
          <w:rFonts w:ascii="等线" w:eastAsia="等线" w:hAnsi="Times New Roman"/>
          <w:color w:val="000000"/>
        </w:rPr>
        <w:t>The first Fintech Services Sub established by a multinational insurance company for its wealth management business</w:t>
      </w:r>
    </w:p>
    <w:p w14:paraId="4E348FC2" w14:textId="77777777" w:rsidR="000E56C8" w:rsidRDefault="000E56C8" w:rsidP="000E56C8">
      <w:pPr>
        <w:pStyle w:val="af5"/>
        <w:numPr>
          <w:ilvl w:val="0"/>
          <w:numId w:val="7"/>
        </w:numPr>
        <w:spacing w:before="120"/>
        <w:ind w:left="690" w:hanging="240"/>
        <w:rPr>
          <w:rFonts w:ascii="等线" w:eastAsia="等线" w:hAnsi="Times New Roman"/>
          <w:color w:val="000000"/>
        </w:rPr>
      </w:pPr>
      <w:r w:rsidRPr="000E56C8">
        <w:rPr>
          <w:rFonts w:ascii="等线" w:eastAsia="等线" w:hAnsi="Times New Roman"/>
          <w:color w:val="000000"/>
        </w:rPr>
        <w:t>The first subsidiary of a foreign bank to obtain the license of fund distribution business</w:t>
      </w:r>
    </w:p>
    <w:p w14:paraId="34D2A006" w14:textId="77777777" w:rsidR="000E56C8" w:rsidRDefault="000E56C8" w:rsidP="000E56C8">
      <w:pPr>
        <w:pStyle w:val="af5"/>
        <w:numPr>
          <w:ilvl w:val="0"/>
          <w:numId w:val="8"/>
        </w:numPr>
        <w:spacing w:before="120"/>
        <w:ind w:left="690" w:hanging="240"/>
        <w:rPr>
          <w:rFonts w:ascii="等线" w:eastAsia="等线" w:hAnsi="Times New Roman"/>
          <w:color w:val="000000"/>
        </w:rPr>
      </w:pPr>
      <w:r w:rsidRPr="000E56C8">
        <w:rPr>
          <w:rFonts w:ascii="等线" w:eastAsia="等线" w:hAnsi="Times New Roman"/>
          <w:color w:val="000000"/>
        </w:rPr>
        <w:t>A foreign bank in obtaining the qualification to perform as fund custodian for securities investment funds</w:t>
      </w:r>
    </w:p>
    <w:p w14:paraId="26F40FCE" w14:textId="77777777" w:rsidR="000E56C8" w:rsidRDefault="000E56C8" w:rsidP="000E56C8">
      <w:pPr>
        <w:pStyle w:val="af5"/>
        <w:numPr>
          <w:ilvl w:val="0"/>
          <w:numId w:val="9"/>
        </w:numPr>
        <w:spacing w:before="120"/>
        <w:ind w:left="690" w:hanging="240"/>
        <w:rPr>
          <w:rFonts w:ascii="等线" w:eastAsia="等线" w:hAnsi="Times New Roman"/>
          <w:color w:val="000000"/>
        </w:rPr>
      </w:pPr>
      <w:r w:rsidRPr="000E56C8">
        <w:rPr>
          <w:rFonts w:ascii="等线" w:eastAsia="等线" w:hAnsi="Times New Roman"/>
          <w:color w:val="000000"/>
        </w:rPr>
        <w:t>The first company to obtain a funds advisory license</w:t>
      </w:r>
    </w:p>
    <w:p w14:paraId="35DA62B8" w14:textId="77777777" w:rsidR="000E56C8" w:rsidRDefault="000E56C8" w:rsidP="000E56C8">
      <w:pPr>
        <w:pStyle w:val="af5"/>
        <w:numPr>
          <w:ilvl w:val="0"/>
          <w:numId w:val="10"/>
        </w:numPr>
        <w:spacing w:before="120"/>
        <w:ind w:left="690" w:hanging="240"/>
        <w:rPr>
          <w:rFonts w:ascii="等线" w:eastAsia="等线" w:hAnsi="Times New Roman"/>
          <w:color w:val="000000"/>
        </w:rPr>
      </w:pPr>
      <w:r w:rsidRPr="000E56C8">
        <w:rPr>
          <w:rFonts w:ascii="等线" w:eastAsia="等线" w:hAnsi="Times New Roman"/>
          <w:color w:val="000000"/>
        </w:rPr>
        <w:t>One of the first wholly foreign-owned Non-Performing Loan (NPL) disposal companies</w:t>
      </w:r>
    </w:p>
    <w:p w14:paraId="2A56E939" w14:textId="77777777" w:rsidR="000E56C8" w:rsidRDefault="000E56C8" w:rsidP="000E56C8">
      <w:pPr>
        <w:pStyle w:val="af5"/>
        <w:numPr>
          <w:ilvl w:val="0"/>
          <w:numId w:val="11"/>
        </w:numPr>
        <w:spacing w:before="120"/>
        <w:ind w:left="690" w:hanging="240"/>
        <w:rPr>
          <w:rFonts w:ascii="等线" w:eastAsia="等线" w:hAnsi="Times New Roman"/>
          <w:color w:val="000000"/>
        </w:rPr>
      </w:pPr>
      <w:r w:rsidRPr="000E56C8">
        <w:rPr>
          <w:rFonts w:ascii="等线" w:eastAsia="等线" w:hAnsi="Times New Roman"/>
          <w:color w:val="000000"/>
        </w:rPr>
        <w:t>The first case of strategic cooperation between a foreign asset management company and a bank wealth management subsidiary</w:t>
      </w:r>
    </w:p>
    <w:p w14:paraId="580E4E4B" w14:textId="77777777" w:rsidR="000E56C8" w:rsidRDefault="000E56C8" w:rsidP="000E56C8">
      <w:pPr>
        <w:pStyle w:val="af5"/>
        <w:numPr>
          <w:ilvl w:val="0"/>
          <w:numId w:val="12"/>
        </w:numPr>
        <w:spacing w:before="120"/>
        <w:ind w:left="690" w:hanging="240"/>
        <w:rPr>
          <w:rFonts w:ascii="等线" w:eastAsia="等线" w:hAnsi="Times New Roman"/>
          <w:color w:val="000000"/>
        </w:rPr>
      </w:pPr>
      <w:r w:rsidRPr="000E56C8">
        <w:rPr>
          <w:rFonts w:ascii="等线" w:eastAsia="等线" w:hAnsi="Times New Roman"/>
          <w:color w:val="000000"/>
        </w:rPr>
        <w:t>The first foreign-invested company approved by the People</w:t>
      </w:r>
      <w:r w:rsidRPr="000E56C8">
        <w:rPr>
          <w:rFonts w:ascii="等线" w:eastAsia="等线" w:hAnsi="Times New Roman"/>
          <w:color w:val="000000"/>
        </w:rPr>
        <w:t>’</w:t>
      </w:r>
      <w:r w:rsidRPr="000E56C8">
        <w:rPr>
          <w:rFonts w:ascii="等线" w:eastAsia="等线" w:hAnsi="Times New Roman"/>
          <w:color w:val="000000"/>
        </w:rPr>
        <w:t>s Bank of China (PBoC) to establish an onshore bank cards RMB clearing network</w:t>
      </w:r>
    </w:p>
    <w:p w14:paraId="60E60D50" w14:textId="77777777" w:rsidR="000E56C8" w:rsidRDefault="000E56C8" w:rsidP="000E56C8">
      <w:pPr>
        <w:pStyle w:val="af5"/>
        <w:numPr>
          <w:ilvl w:val="0"/>
          <w:numId w:val="13"/>
        </w:numPr>
        <w:spacing w:before="120"/>
        <w:ind w:left="690" w:hanging="240"/>
        <w:rPr>
          <w:rFonts w:ascii="等线" w:eastAsia="等线" w:hAnsi="Times New Roman"/>
          <w:color w:val="000000"/>
        </w:rPr>
      </w:pPr>
      <w:r w:rsidRPr="000E56C8">
        <w:rPr>
          <w:rFonts w:ascii="等线" w:eastAsia="等线" w:hAnsi="Times New Roman"/>
          <w:color w:val="000000"/>
        </w:rPr>
        <w:t>One of the first batch of approved QFIs since the new 2020 QFII rules</w:t>
      </w:r>
    </w:p>
    <w:p w14:paraId="36868DC8" w14:textId="77777777" w:rsidR="000E56C8" w:rsidRDefault="000E56C8" w:rsidP="000E56C8">
      <w:pPr>
        <w:pStyle w:val="af5"/>
        <w:numPr>
          <w:ilvl w:val="0"/>
          <w:numId w:val="14"/>
        </w:numPr>
        <w:spacing w:before="120"/>
        <w:ind w:left="690" w:hanging="240"/>
        <w:rPr>
          <w:rFonts w:ascii="等线" w:eastAsia="等线" w:hAnsi="Times New Roman"/>
          <w:color w:val="000000"/>
        </w:rPr>
      </w:pPr>
      <w:r w:rsidRPr="000E56C8">
        <w:rPr>
          <w:rFonts w:ascii="等线" w:eastAsia="等线" w:hAnsi="Times New Roman"/>
          <w:color w:val="000000"/>
        </w:rPr>
        <w:t>The first Qualified Foreign Limited Partnership (QFLP) focusing on debt investment</w:t>
      </w:r>
    </w:p>
    <w:p w14:paraId="6C8295A3" w14:textId="77777777" w:rsidR="000E56C8" w:rsidRDefault="000E56C8" w:rsidP="000E56C8">
      <w:pPr>
        <w:pStyle w:val="af5"/>
        <w:numPr>
          <w:ilvl w:val="0"/>
          <w:numId w:val="15"/>
        </w:numPr>
        <w:spacing w:before="120"/>
        <w:ind w:left="690" w:hanging="240"/>
        <w:rPr>
          <w:rFonts w:ascii="等线" w:eastAsia="等线" w:hAnsi="Times New Roman"/>
          <w:color w:val="000000"/>
        </w:rPr>
      </w:pPr>
      <w:r w:rsidRPr="000E56C8">
        <w:rPr>
          <w:rFonts w:ascii="等线" w:eastAsia="等线" w:hAnsi="Times New Roman"/>
          <w:color w:val="000000"/>
        </w:rPr>
        <w:t>One of the first batch of foreign private fund management licenses (PFMs) filed with Asset Management Association of China (AMAC)</w:t>
      </w:r>
    </w:p>
    <w:p w14:paraId="1172559B" w14:textId="77777777" w:rsidR="000E56C8" w:rsidRDefault="000E56C8" w:rsidP="000E56C8">
      <w:pPr>
        <w:pStyle w:val="af5"/>
        <w:numPr>
          <w:ilvl w:val="0"/>
          <w:numId w:val="16"/>
        </w:numPr>
        <w:spacing w:before="120"/>
        <w:ind w:left="690" w:hanging="240"/>
        <w:rPr>
          <w:rFonts w:ascii="等线" w:eastAsia="等线" w:hAnsi="Times New Roman"/>
          <w:color w:val="000000"/>
        </w:rPr>
      </w:pPr>
      <w:r w:rsidRPr="000E56C8">
        <w:rPr>
          <w:rFonts w:ascii="等线" w:eastAsia="等线" w:hAnsi="Times New Roman"/>
          <w:color w:val="000000"/>
        </w:rPr>
        <w:t>One of the first batch of insurance brokerage firm wholly owned by an auto-maker</w:t>
      </w:r>
    </w:p>
    <w:p w14:paraId="341C7BAA" w14:textId="77777777" w:rsidR="000E56C8" w:rsidRDefault="000E56C8" w:rsidP="000E56C8">
      <w:pPr>
        <w:pStyle w:val="af5"/>
        <w:numPr>
          <w:ilvl w:val="0"/>
          <w:numId w:val="17"/>
        </w:numPr>
        <w:spacing w:before="120"/>
        <w:ind w:left="690" w:hanging="240"/>
        <w:rPr>
          <w:rFonts w:ascii="等线" w:eastAsia="等线" w:hAnsi="Times New Roman"/>
          <w:color w:val="000000"/>
        </w:rPr>
      </w:pPr>
      <w:r w:rsidRPr="000E56C8">
        <w:rPr>
          <w:rFonts w:ascii="等线" w:eastAsia="等线" w:hAnsi="Times New Roman"/>
          <w:color w:val="000000"/>
        </w:rPr>
        <w:t>The first WFOE to provide ESG evaluation services</w:t>
      </w:r>
    </w:p>
    <w:p w14:paraId="1B23E38D" w14:textId="77777777" w:rsidR="000E56C8" w:rsidRDefault="000E56C8" w:rsidP="000E56C8">
      <w:pPr>
        <w:pStyle w:val="af5"/>
        <w:numPr>
          <w:ilvl w:val="0"/>
          <w:numId w:val="18"/>
        </w:numPr>
        <w:spacing w:before="120"/>
        <w:ind w:left="690" w:hanging="240"/>
        <w:rPr>
          <w:rFonts w:ascii="等线" w:eastAsia="等线" w:hAnsi="Times New Roman"/>
          <w:color w:val="000000"/>
        </w:rPr>
      </w:pPr>
      <w:r w:rsidRPr="000E56C8">
        <w:rPr>
          <w:rFonts w:ascii="等线" w:eastAsia="等线" w:hAnsi="Times New Roman"/>
          <w:color w:val="000000"/>
        </w:rPr>
        <w:t>Other than these, Zhiyi also assisted from PRC perspective a top US asset manager to acquire a minority interest in the General Partner (GP) of a leading Asia Private Equity manager and a well-known British asset management group in its merger with an international insurance group, both of which are representative transactions in the area of funds M&amp;A   In the changing regulatory and business environment, Zhiyi, together with the team, advises multiple domestic and multinational financial/asset management companies on products offering/marketing, internal control, data protection, anti-money laundering and continuous compliance. In particular:</w:t>
      </w:r>
    </w:p>
    <w:p w14:paraId="55E9EC2B" w14:textId="77777777" w:rsidR="000E56C8" w:rsidRDefault="000E56C8" w:rsidP="000E56C8">
      <w:pPr>
        <w:pStyle w:val="af5"/>
        <w:numPr>
          <w:ilvl w:val="0"/>
          <w:numId w:val="19"/>
        </w:numPr>
        <w:spacing w:before="120"/>
        <w:ind w:left="690" w:hanging="240"/>
        <w:rPr>
          <w:rFonts w:ascii="等线" w:eastAsia="等线" w:hAnsi="Times New Roman"/>
          <w:color w:val="000000"/>
        </w:rPr>
      </w:pPr>
      <w:r w:rsidRPr="000E56C8">
        <w:rPr>
          <w:rFonts w:ascii="等线" w:eastAsia="等线" w:hAnsi="Times New Roman"/>
          <w:color w:val="000000"/>
        </w:rPr>
        <w:t>Assisting clients in offering one of the first batch of multi-asset funds products by PFMs</w:t>
      </w:r>
    </w:p>
    <w:p w14:paraId="28672139" w14:textId="77777777" w:rsidR="000E56C8" w:rsidRDefault="000E56C8" w:rsidP="000E56C8">
      <w:pPr>
        <w:pStyle w:val="af5"/>
        <w:numPr>
          <w:ilvl w:val="0"/>
          <w:numId w:val="20"/>
        </w:numPr>
        <w:spacing w:before="120"/>
        <w:ind w:left="690" w:hanging="240"/>
        <w:rPr>
          <w:rFonts w:ascii="等线" w:eastAsia="等线" w:hAnsi="Times New Roman"/>
          <w:color w:val="000000"/>
        </w:rPr>
      </w:pPr>
      <w:r w:rsidRPr="000E56C8">
        <w:rPr>
          <w:rFonts w:ascii="等线" w:eastAsia="等线" w:hAnsi="Times New Roman"/>
          <w:color w:val="000000"/>
        </w:rPr>
        <w:t>Assisting clients in one of the first cases of Qualified Domestic Limited Partner (QDLP) products distribution by foreign-invested securities firms</w:t>
      </w:r>
    </w:p>
    <w:p w14:paraId="5DCC4508" w14:textId="77777777" w:rsidR="000E56C8" w:rsidRDefault="000E56C8" w:rsidP="000E56C8">
      <w:pPr>
        <w:pStyle w:val="af5"/>
        <w:numPr>
          <w:ilvl w:val="0"/>
          <w:numId w:val="21"/>
        </w:numPr>
        <w:spacing w:before="120"/>
        <w:ind w:left="690" w:hanging="240"/>
        <w:rPr>
          <w:rFonts w:ascii="等线" w:eastAsia="等线" w:hAnsi="Times New Roman"/>
          <w:color w:val="000000"/>
        </w:rPr>
      </w:pPr>
      <w:r w:rsidRPr="000E56C8">
        <w:rPr>
          <w:rFonts w:ascii="等线" w:eastAsia="等线" w:hAnsi="Times New Roman"/>
          <w:color w:val="000000"/>
        </w:rPr>
        <w:t>Assisting the first JV Wealth Management Company in issuing its first wealth management product</w:t>
      </w:r>
    </w:p>
    <w:p w14:paraId="718C31CF" w14:textId="77777777" w:rsidR="000E56C8" w:rsidRDefault="000E56C8" w:rsidP="000E56C8">
      <w:pPr>
        <w:pStyle w:val="af5"/>
        <w:numPr>
          <w:ilvl w:val="0"/>
          <w:numId w:val="22"/>
        </w:numPr>
        <w:spacing w:before="120"/>
        <w:ind w:left="690" w:hanging="240"/>
        <w:rPr>
          <w:rFonts w:ascii="等线" w:eastAsia="等线" w:hAnsi="Times New Roman"/>
          <w:color w:val="000000"/>
        </w:rPr>
      </w:pPr>
      <w:r w:rsidRPr="000E56C8">
        <w:rPr>
          <w:rFonts w:ascii="等线" w:eastAsia="等线" w:hAnsi="Times New Roman"/>
          <w:color w:val="000000"/>
        </w:rPr>
        <w:t>Assisting a foreign bank to obtain securities investment funds custody qualification</w:t>
      </w:r>
    </w:p>
    <w:p w14:paraId="7DD3961C" w14:textId="77777777" w:rsidR="000E56C8" w:rsidRDefault="000E56C8" w:rsidP="000E56C8">
      <w:pPr>
        <w:pStyle w:val="af5"/>
        <w:numPr>
          <w:ilvl w:val="0"/>
          <w:numId w:val="23"/>
        </w:numPr>
        <w:spacing w:before="120"/>
        <w:ind w:left="690" w:hanging="240"/>
        <w:rPr>
          <w:rFonts w:ascii="等线" w:eastAsia="等线" w:hAnsi="Times New Roman"/>
          <w:color w:val="000000"/>
        </w:rPr>
      </w:pPr>
      <w:r w:rsidRPr="000E56C8">
        <w:rPr>
          <w:rFonts w:ascii="等线" w:eastAsia="等线" w:hAnsi="Times New Roman"/>
          <w:color w:val="000000"/>
        </w:rPr>
        <w:t>Assisting various QFIs for their vendor agreements with custodians and brokers</w:t>
      </w:r>
    </w:p>
    <w:p w14:paraId="59F809C0" w14:textId="77777777" w:rsidR="000E56C8" w:rsidRDefault="000E56C8" w:rsidP="000E56C8">
      <w:pPr>
        <w:pStyle w:val="af5"/>
        <w:numPr>
          <w:ilvl w:val="0"/>
          <w:numId w:val="24"/>
        </w:numPr>
        <w:spacing w:before="120"/>
        <w:ind w:left="690" w:hanging="240"/>
        <w:rPr>
          <w:rFonts w:ascii="等线" w:eastAsia="等线" w:hAnsi="Times New Roman"/>
          <w:color w:val="000000"/>
        </w:rPr>
      </w:pPr>
      <w:r w:rsidRPr="000E56C8">
        <w:rPr>
          <w:rFonts w:ascii="等线" w:eastAsia="等线" w:hAnsi="Times New Roman"/>
          <w:color w:val="000000"/>
        </w:rPr>
        <w:t>Assisting clients in the first batch of offshore financing of cross-border NPL acquisition</w:t>
      </w:r>
    </w:p>
    <w:p w14:paraId="090331E0" w14:textId="77777777" w:rsidR="000E56C8" w:rsidRDefault="000E56C8" w:rsidP="000E56C8">
      <w:pPr>
        <w:pStyle w:val="af5"/>
        <w:numPr>
          <w:ilvl w:val="0"/>
          <w:numId w:val="25"/>
        </w:numPr>
        <w:spacing w:before="120"/>
        <w:ind w:left="690" w:hanging="240"/>
        <w:rPr>
          <w:rFonts w:ascii="等线" w:eastAsia="等线" w:hAnsi="Times New Roman"/>
          <w:color w:val="000000"/>
        </w:rPr>
      </w:pPr>
      <w:r w:rsidRPr="000E56C8">
        <w:rPr>
          <w:rFonts w:ascii="等线" w:eastAsia="等线" w:hAnsi="Times New Roman"/>
          <w:color w:val="000000"/>
        </w:rPr>
        <w:t>Assisting in analyzing requirements for cross-border data transfer, personal information protection and IT system set-up and outsourcing as applied to financial infrastructure, banks, securities firms, futures companies, funds and financial services institutions; conducting data-mapping; and designing general IT compliance frameworks</w:t>
      </w:r>
    </w:p>
    <w:p w14:paraId="0D4F8699" w14:textId="77777777" w:rsidR="000E56C8" w:rsidRDefault="000E56C8" w:rsidP="000E56C8">
      <w:pPr>
        <w:pStyle w:val="af5"/>
        <w:numPr>
          <w:ilvl w:val="0"/>
          <w:numId w:val="26"/>
        </w:numPr>
        <w:spacing w:before="120"/>
        <w:ind w:left="690" w:hanging="240"/>
        <w:rPr>
          <w:rFonts w:ascii="等线" w:eastAsia="等线" w:hAnsi="Times New Roman"/>
          <w:color w:val="000000"/>
        </w:rPr>
      </w:pPr>
      <w:r w:rsidRPr="000E56C8">
        <w:rPr>
          <w:rFonts w:ascii="等线" w:eastAsia="等线" w:hAnsi="Times New Roman"/>
          <w:color w:val="000000"/>
        </w:rPr>
        <w:t>Assisting newly established financial institutions to prepare policies, PnPs and business templates for IB, marketing, research and asset management   There are many disputes in the asset management sector. Zhiyi, together with the team, has assisted many domestic and multinational companies in internal investigations, regulatory inspections and crisis management, such as:</w:t>
      </w:r>
    </w:p>
    <w:p w14:paraId="5950CEC7" w14:textId="77777777" w:rsidR="000E56C8" w:rsidRDefault="000E56C8" w:rsidP="000E56C8">
      <w:pPr>
        <w:pStyle w:val="af5"/>
        <w:numPr>
          <w:ilvl w:val="0"/>
          <w:numId w:val="27"/>
        </w:numPr>
        <w:spacing w:before="120"/>
        <w:ind w:left="690" w:hanging="240"/>
        <w:rPr>
          <w:rFonts w:ascii="等线" w:eastAsia="等线" w:hAnsi="Times New Roman"/>
          <w:color w:val="000000"/>
        </w:rPr>
      </w:pPr>
      <w:r w:rsidRPr="000E56C8">
        <w:rPr>
          <w:rFonts w:ascii="等线" w:eastAsia="等线" w:hAnsi="Times New Roman"/>
          <w:color w:val="000000"/>
        </w:rPr>
        <w:t>Providing advice to a securities firm acting as custodian to private investment funds, participated in negotiations and represented the securities firm in litigations, with respect to actions taken by investors seeking to protect their benefits after default of private investment fund products, loss of contact of private investment fund managers and failure in honoring of products</w:t>
      </w:r>
    </w:p>
    <w:p w14:paraId="6BA654B4" w14:textId="77777777" w:rsidR="000E56C8" w:rsidRDefault="000E56C8" w:rsidP="000E56C8">
      <w:pPr>
        <w:pStyle w:val="af5"/>
        <w:numPr>
          <w:ilvl w:val="0"/>
          <w:numId w:val="28"/>
        </w:numPr>
        <w:spacing w:before="120"/>
        <w:ind w:left="690" w:hanging="240"/>
        <w:rPr>
          <w:rFonts w:ascii="等线" w:eastAsia="等线" w:hAnsi="Times New Roman"/>
          <w:color w:val="000000"/>
        </w:rPr>
      </w:pPr>
      <w:r w:rsidRPr="000E56C8">
        <w:rPr>
          <w:rFonts w:ascii="等线" w:eastAsia="等线" w:hAnsi="Times New Roman"/>
          <w:color w:val="000000"/>
        </w:rPr>
        <w:t>Advising a broker with respect to a cross-border regulatory investigation arising from clients</w:t>
      </w:r>
      <w:r w:rsidRPr="000E56C8">
        <w:rPr>
          <w:rFonts w:ascii="等线" w:eastAsia="等线" w:hAnsi="Times New Roman"/>
          <w:color w:val="000000"/>
        </w:rPr>
        <w:t>’</w:t>
      </w:r>
      <w:r w:rsidRPr="000E56C8">
        <w:rPr>
          <w:rFonts w:ascii="等线" w:eastAsia="等线" w:hAnsi="Times New Roman"/>
          <w:color w:val="000000"/>
        </w:rPr>
        <w:t xml:space="preserve"> trading through Shanghai-Hong Kong Stock Connect</w:t>
      </w:r>
    </w:p>
    <w:p w14:paraId="02C6767A" w14:textId="77777777" w:rsidR="000E56C8" w:rsidRDefault="000E56C8" w:rsidP="000E56C8">
      <w:pPr>
        <w:pStyle w:val="af5"/>
        <w:numPr>
          <w:ilvl w:val="0"/>
          <w:numId w:val="29"/>
        </w:numPr>
        <w:spacing w:before="120"/>
        <w:ind w:left="690" w:hanging="240"/>
        <w:rPr>
          <w:rFonts w:ascii="等线" w:eastAsia="等线" w:hAnsi="Times New Roman"/>
          <w:color w:val="000000"/>
        </w:rPr>
      </w:pPr>
      <w:r w:rsidRPr="000E56C8">
        <w:rPr>
          <w:rFonts w:ascii="等线" w:eastAsia="等线" w:hAnsi="Times New Roman"/>
          <w:color w:val="000000"/>
        </w:rPr>
        <w:t>Assisted a mutual fund manager in reviewing the business operation of its fund subsidiary and improving the risk control of the fund subsidiary   Other representative transactions:</w:t>
      </w:r>
    </w:p>
    <w:p w14:paraId="3C410CBE" w14:textId="77777777" w:rsidR="000E56C8" w:rsidRDefault="000E56C8" w:rsidP="000E56C8">
      <w:pPr>
        <w:pStyle w:val="af5"/>
        <w:numPr>
          <w:ilvl w:val="0"/>
          <w:numId w:val="30"/>
        </w:numPr>
        <w:spacing w:before="120"/>
        <w:ind w:left="690" w:hanging="240"/>
        <w:rPr>
          <w:rFonts w:ascii="等线" w:eastAsia="等线" w:hAnsi="Times New Roman"/>
          <w:color w:val="000000"/>
        </w:rPr>
      </w:pPr>
      <w:r w:rsidRPr="000E56C8">
        <w:rPr>
          <w:rFonts w:ascii="等线" w:eastAsia="等线" w:hAnsi="Times New Roman"/>
          <w:color w:val="000000"/>
        </w:rPr>
        <w:t>Advising a major international investment bank on its establishment of its investment banking operations in the PRC by way of a joint venture with a newly formed domestic securities company (this involved an innovative structure in the establishment of a full-service platform on a greenfield basis)</w:t>
      </w:r>
    </w:p>
    <w:p w14:paraId="66C56D37" w14:textId="77777777" w:rsidR="000E56C8" w:rsidRDefault="000E56C8" w:rsidP="000E56C8">
      <w:pPr>
        <w:pStyle w:val="af5"/>
        <w:numPr>
          <w:ilvl w:val="0"/>
          <w:numId w:val="31"/>
        </w:numPr>
        <w:spacing w:before="120"/>
        <w:ind w:left="690" w:hanging="240"/>
        <w:rPr>
          <w:rFonts w:ascii="等线" w:eastAsia="等线" w:hAnsi="Times New Roman"/>
          <w:color w:val="000000"/>
        </w:rPr>
      </w:pPr>
      <w:r w:rsidRPr="000E56C8">
        <w:rPr>
          <w:rFonts w:ascii="等线" w:eastAsia="等线" w:hAnsi="Times New Roman"/>
          <w:color w:val="000000"/>
        </w:rPr>
        <w:t>Advising JPMorgan on its securities joint venture with First Capital Securities</w:t>
      </w:r>
    </w:p>
    <w:p w14:paraId="577CA685" w14:textId="77777777" w:rsidR="000E56C8" w:rsidRDefault="000E56C8" w:rsidP="000E56C8">
      <w:pPr>
        <w:pStyle w:val="af5"/>
        <w:numPr>
          <w:ilvl w:val="0"/>
          <w:numId w:val="32"/>
        </w:numPr>
        <w:spacing w:before="120"/>
        <w:ind w:left="690" w:hanging="240"/>
        <w:rPr>
          <w:rFonts w:ascii="等线" w:eastAsia="等线" w:hAnsi="Times New Roman"/>
          <w:color w:val="000000"/>
        </w:rPr>
      </w:pPr>
      <w:r w:rsidRPr="000E56C8">
        <w:rPr>
          <w:rFonts w:ascii="等线" w:eastAsia="等线" w:hAnsi="Times New Roman"/>
          <w:color w:val="000000"/>
        </w:rPr>
        <w:t>Advising RBS on its securities joint venture with Guolian Securities</w:t>
      </w:r>
    </w:p>
    <w:p w14:paraId="7B41C1CD" w14:textId="77777777" w:rsidR="000E56C8" w:rsidRDefault="000E56C8" w:rsidP="000E56C8">
      <w:pPr>
        <w:pStyle w:val="af5"/>
        <w:numPr>
          <w:ilvl w:val="0"/>
          <w:numId w:val="33"/>
        </w:numPr>
        <w:spacing w:before="120"/>
        <w:ind w:left="690" w:hanging="240"/>
        <w:rPr>
          <w:rFonts w:ascii="等线" w:eastAsia="等线" w:hAnsi="Times New Roman"/>
          <w:color w:val="000000"/>
        </w:rPr>
      </w:pPr>
      <w:r w:rsidRPr="000E56C8">
        <w:rPr>
          <w:rFonts w:ascii="等线" w:eastAsia="等线" w:hAnsi="Times New Roman"/>
          <w:color w:val="000000"/>
        </w:rPr>
        <w:t>Advising Morgan Stanley on its securities joint venture with China Fortune Securities</w:t>
      </w:r>
    </w:p>
    <w:p w14:paraId="7C6F879E" w14:textId="77777777" w:rsidR="000E56C8" w:rsidRDefault="000E56C8" w:rsidP="000E56C8">
      <w:pPr>
        <w:pStyle w:val="af5"/>
        <w:numPr>
          <w:ilvl w:val="0"/>
          <w:numId w:val="34"/>
        </w:numPr>
        <w:spacing w:before="120"/>
        <w:ind w:left="690" w:hanging="240"/>
        <w:rPr>
          <w:rFonts w:ascii="等线" w:eastAsia="等线" w:hAnsi="Times New Roman"/>
          <w:color w:val="000000"/>
        </w:rPr>
      </w:pPr>
      <w:r w:rsidRPr="000E56C8">
        <w:rPr>
          <w:rFonts w:ascii="等线" w:eastAsia="等线" w:hAnsi="Times New Roman"/>
          <w:color w:val="000000"/>
        </w:rPr>
        <w:t>Advising CLSA on its cooperation with Fortune Securities in respect of research and institutional broking businesses through their securities joint venture</w:t>
      </w:r>
    </w:p>
    <w:p w14:paraId="0DC1E135" w14:textId="77777777" w:rsidR="000E56C8" w:rsidRDefault="000E56C8" w:rsidP="000E56C8">
      <w:pPr>
        <w:pStyle w:val="af5"/>
        <w:numPr>
          <w:ilvl w:val="0"/>
          <w:numId w:val="35"/>
        </w:numPr>
        <w:spacing w:before="120"/>
        <w:ind w:left="690" w:hanging="240"/>
        <w:rPr>
          <w:rFonts w:ascii="等线" w:eastAsia="等线" w:hAnsi="Times New Roman"/>
          <w:color w:val="000000"/>
        </w:rPr>
      </w:pPr>
      <w:r w:rsidRPr="000E56C8">
        <w:rPr>
          <w:rFonts w:ascii="等线" w:eastAsia="等线" w:hAnsi="Times New Roman"/>
          <w:color w:val="000000"/>
        </w:rPr>
        <w:t>Advising JPMorgan on the acquisition of 49% shares of Zhongshan Futures Brokerage Co., Ltd.</w:t>
      </w:r>
    </w:p>
    <w:p w14:paraId="2A17C35B" w14:textId="77777777" w:rsidR="000E56C8" w:rsidRDefault="000E56C8" w:rsidP="000E56C8">
      <w:pPr>
        <w:pStyle w:val="af5"/>
        <w:numPr>
          <w:ilvl w:val="0"/>
          <w:numId w:val="36"/>
        </w:numPr>
        <w:spacing w:before="120"/>
        <w:ind w:left="690" w:hanging="240"/>
        <w:rPr>
          <w:rFonts w:ascii="等线" w:eastAsia="等线" w:hAnsi="Times New Roman"/>
          <w:color w:val="000000"/>
        </w:rPr>
      </w:pPr>
      <w:r w:rsidRPr="000E56C8">
        <w:rPr>
          <w:rFonts w:ascii="等线" w:eastAsia="等线" w:hAnsi="Times New Roman"/>
          <w:color w:val="000000"/>
        </w:rPr>
        <w:t>Advising a major domestic investment bank on its acquisition of a 100% shareholding in a PRC futures brokerage firm</w:t>
      </w:r>
    </w:p>
    <w:p w14:paraId="0BDAE2E6" w14:textId="77777777" w:rsidR="000E56C8" w:rsidRDefault="000E56C8" w:rsidP="000E56C8">
      <w:pPr>
        <w:pStyle w:val="af5"/>
        <w:numPr>
          <w:ilvl w:val="0"/>
          <w:numId w:val="37"/>
        </w:numPr>
        <w:spacing w:before="120"/>
        <w:ind w:left="690" w:hanging="240"/>
        <w:rPr>
          <w:rFonts w:ascii="等线" w:eastAsia="等线" w:hAnsi="Times New Roman"/>
          <w:color w:val="000000"/>
        </w:rPr>
      </w:pPr>
      <w:r w:rsidRPr="000E56C8">
        <w:rPr>
          <w:rFonts w:ascii="等线" w:eastAsia="等线" w:hAnsi="Times New Roman"/>
          <w:color w:val="000000"/>
        </w:rPr>
        <w:t>Advising UBS Securities on its investment into Pumin Futures Brokerage Co., Ltd.</w:t>
      </w:r>
    </w:p>
    <w:p w14:paraId="3FC16764" w14:textId="77777777" w:rsidR="000E56C8" w:rsidRDefault="000E56C8" w:rsidP="000E56C8">
      <w:pPr>
        <w:pStyle w:val="af5"/>
        <w:numPr>
          <w:ilvl w:val="0"/>
          <w:numId w:val="38"/>
        </w:numPr>
        <w:spacing w:before="120"/>
        <w:ind w:left="690" w:hanging="240"/>
        <w:rPr>
          <w:rFonts w:ascii="等线" w:eastAsia="等线" w:hAnsi="Times New Roman"/>
          <w:color w:val="000000"/>
        </w:rPr>
      </w:pPr>
      <w:r w:rsidRPr="000E56C8">
        <w:rPr>
          <w:rFonts w:ascii="等线" w:eastAsia="等线" w:hAnsi="Times New Roman"/>
          <w:color w:val="000000"/>
        </w:rPr>
        <w:t>Advising JPMorgan on its investment in Bridge Trust Co., Ltd.</w:t>
      </w:r>
    </w:p>
    <w:p w14:paraId="1C08BF84" w14:textId="77777777" w:rsidR="000E56C8" w:rsidRDefault="000E56C8" w:rsidP="000E56C8">
      <w:pPr>
        <w:pStyle w:val="af5"/>
        <w:numPr>
          <w:ilvl w:val="0"/>
          <w:numId w:val="39"/>
        </w:numPr>
        <w:spacing w:before="120"/>
        <w:ind w:left="690" w:hanging="240"/>
        <w:rPr>
          <w:rFonts w:ascii="等线" w:eastAsia="等线" w:hAnsi="Times New Roman"/>
          <w:color w:val="000000"/>
        </w:rPr>
      </w:pPr>
      <w:r w:rsidRPr="000E56C8">
        <w:rPr>
          <w:rFonts w:ascii="等线" w:eastAsia="等线" w:hAnsi="Times New Roman"/>
          <w:color w:val="000000"/>
        </w:rPr>
        <w:t>Advising RBS on the acquisition of 19.99% shares of Suzhou Trust</w:t>
      </w:r>
    </w:p>
    <w:p w14:paraId="20A16400" w14:textId="77777777" w:rsidR="000E56C8" w:rsidRDefault="000E56C8" w:rsidP="000E56C8">
      <w:pPr>
        <w:pStyle w:val="af5"/>
        <w:numPr>
          <w:ilvl w:val="0"/>
          <w:numId w:val="40"/>
        </w:numPr>
        <w:spacing w:before="120"/>
        <w:ind w:left="690" w:hanging="240"/>
        <w:rPr>
          <w:rFonts w:ascii="等线" w:eastAsia="等线" w:hAnsi="Times New Roman"/>
          <w:color w:val="000000"/>
        </w:rPr>
      </w:pPr>
      <w:r w:rsidRPr="000E56C8">
        <w:rPr>
          <w:rFonts w:ascii="等线" w:eastAsia="等线" w:hAnsi="Times New Roman"/>
          <w:color w:val="000000"/>
        </w:rPr>
        <w:t>Advising Soci</w:t>
      </w:r>
      <w:r w:rsidRPr="000E56C8">
        <w:rPr>
          <w:rFonts w:ascii="等线" w:eastAsia="等线" w:hAnsi="Times New Roman"/>
          <w:color w:val="000000"/>
        </w:rPr>
        <w:t>é</w:t>
      </w:r>
      <w:r w:rsidRPr="000E56C8">
        <w:rPr>
          <w:rFonts w:ascii="等线" w:eastAsia="等线" w:hAnsi="Times New Roman"/>
          <w:color w:val="000000"/>
        </w:rPr>
        <w:t>t</w:t>
      </w:r>
      <w:r w:rsidRPr="000E56C8">
        <w:rPr>
          <w:rFonts w:ascii="等线" w:eastAsia="等线" w:hAnsi="Times New Roman"/>
          <w:color w:val="000000"/>
        </w:rPr>
        <w:t>é</w:t>
      </w:r>
      <w:r w:rsidRPr="000E56C8">
        <w:rPr>
          <w:rFonts w:ascii="等线" w:eastAsia="等线" w:hAnsi="Times New Roman"/>
          <w:color w:val="000000"/>
        </w:rPr>
        <w:t xml:space="preserve"> G</w:t>
      </w:r>
      <w:r w:rsidRPr="000E56C8">
        <w:rPr>
          <w:rFonts w:ascii="等线" w:eastAsia="等线" w:hAnsi="Times New Roman"/>
          <w:color w:val="000000"/>
        </w:rPr>
        <w:t>é</w:t>
      </w:r>
      <w:r w:rsidRPr="000E56C8">
        <w:rPr>
          <w:rFonts w:ascii="等线" w:eastAsia="等线" w:hAnsi="Times New Roman"/>
          <w:color w:val="000000"/>
        </w:rPr>
        <w:t>n</w:t>
      </w:r>
      <w:r w:rsidRPr="000E56C8">
        <w:rPr>
          <w:rFonts w:ascii="等线" w:eastAsia="等线" w:hAnsi="Times New Roman"/>
          <w:color w:val="000000"/>
        </w:rPr>
        <w:t>é</w:t>
      </w:r>
      <w:r w:rsidRPr="000E56C8">
        <w:rPr>
          <w:rFonts w:ascii="等线" w:eastAsia="等线" w:hAnsi="Times New Roman"/>
          <w:color w:val="000000"/>
        </w:rPr>
        <w:t>rale on its proposed acquisition of Fortune Trust</w:t>
      </w:r>
    </w:p>
    <w:p w14:paraId="56052689" w14:textId="77777777" w:rsidR="000E56C8" w:rsidRDefault="000E56C8" w:rsidP="000E56C8">
      <w:pPr>
        <w:pStyle w:val="af5"/>
        <w:numPr>
          <w:ilvl w:val="0"/>
          <w:numId w:val="41"/>
        </w:numPr>
        <w:spacing w:before="120"/>
        <w:ind w:left="690" w:hanging="240"/>
        <w:rPr>
          <w:rFonts w:ascii="等线" w:eastAsia="等线" w:hAnsi="Times New Roman"/>
          <w:color w:val="000000"/>
        </w:rPr>
      </w:pPr>
      <w:r w:rsidRPr="000E56C8">
        <w:rPr>
          <w:rFonts w:ascii="等线" w:eastAsia="等线" w:hAnsi="Times New Roman"/>
          <w:color w:val="000000"/>
        </w:rPr>
        <w:t>Advising JPMorgan on its credit cards co-operation with Postal Savings Bank of China</w:t>
      </w:r>
    </w:p>
    <w:p w14:paraId="3F57B986" w14:textId="77777777" w:rsidR="000E56C8" w:rsidRDefault="000E56C8" w:rsidP="000E56C8">
      <w:pPr>
        <w:pStyle w:val="af5"/>
        <w:numPr>
          <w:ilvl w:val="0"/>
          <w:numId w:val="42"/>
        </w:numPr>
        <w:spacing w:before="120"/>
        <w:ind w:left="690" w:hanging="240"/>
        <w:rPr>
          <w:rFonts w:ascii="等线" w:eastAsia="等线" w:hAnsi="Times New Roman"/>
          <w:color w:val="000000"/>
        </w:rPr>
      </w:pPr>
      <w:r w:rsidRPr="000E56C8">
        <w:rPr>
          <w:rFonts w:ascii="等线" w:eastAsia="等线" w:hAnsi="Times New Roman"/>
          <w:color w:val="000000"/>
        </w:rPr>
        <w:t>Advising Merrill Lynch on its proposed investment in a locally incorporated foreign bank</w:t>
      </w:r>
    </w:p>
    <w:p w14:paraId="1B9B2525" w14:textId="77777777" w:rsidR="000E56C8" w:rsidRDefault="000E56C8" w:rsidP="000E56C8">
      <w:pPr>
        <w:pStyle w:val="af5"/>
        <w:numPr>
          <w:ilvl w:val="0"/>
          <w:numId w:val="43"/>
        </w:numPr>
        <w:spacing w:before="120"/>
        <w:ind w:left="690" w:hanging="240"/>
        <w:rPr>
          <w:rFonts w:ascii="等线" w:eastAsia="等线" w:hAnsi="Times New Roman"/>
          <w:color w:val="000000"/>
        </w:rPr>
      </w:pPr>
      <w:r w:rsidRPr="000E56C8">
        <w:rPr>
          <w:rFonts w:ascii="等线" w:eastAsia="等线" w:hAnsi="Times New Roman"/>
          <w:color w:val="000000"/>
        </w:rPr>
        <w:t>Advising Citibank on its acquisition of 19.99% shares of Guangdong Development Bank</w:t>
      </w:r>
    </w:p>
    <w:p w14:paraId="0DDAEFFD" w14:textId="77777777" w:rsidR="000E56C8" w:rsidRDefault="000E56C8" w:rsidP="000E56C8">
      <w:pPr>
        <w:pStyle w:val="af5"/>
        <w:numPr>
          <w:ilvl w:val="0"/>
          <w:numId w:val="44"/>
        </w:numPr>
        <w:spacing w:before="120"/>
        <w:ind w:left="690" w:hanging="240"/>
        <w:rPr>
          <w:rFonts w:ascii="等线" w:eastAsia="等线" w:hAnsi="Times New Roman"/>
          <w:color w:val="000000"/>
        </w:rPr>
      </w:pPr>
      <w:r w:rsidRPr="000E56C8">
        <w:rPr>
          <w:rFonts w:ascii="等线" w:eastAsia="等线" w:hAnsi="Times New Roman"/>
          <w:color w:val="000000"/>
        </w:rPr>
        <w:t>Advising Cr</w:t>
      </w:r>
      <w:r w:rsidRPr="000E56C8">
        <w:rPr>
          <w:rFonts w:ascii="等线" w:eastAsia="等线" w:hAnsi="Times New Roman"/>
          <w:color w:val="000000"/>
        </w:rPr>
        <w:t>é</w:t>
      </w:r>
      <w:r w:rsidRPr="000E56C8">
        <w:rPr>
          <w:rFonts w:ascii="等线" w:eastAsia="等线" w:hAnsi="Times New Roman"/>
          <w:color w:val="000000"/>
        </w:rPr>
        <w:t>dit Agricole on the establishment of ABC- CA JV fund management company with Agricultural Bank of China and CHALCO</w:t>
      </w:r>
    </w:p>
    <w:p w14:paraId="0F464410" w14:textId="77777777" w:rsidR="000E56C8" w:rsidRDefault="000E56C8" w:rsidP="000E56C8">
      <w:pPr>
        <w:pStyle w:val="af5"/>
        <w:numPr>
          <w:ilvl w:val="0"/>
          <w:numId w:val="45"/>
        </w:numPr>
        <w:spacing w:before="120"/>
        <w:ind w:left="690" w:hanging="240"/>
        <w:rPr>
          <w:rFonts w:ascii="等线" w:eastAsia="等线" w:hAnsi="Times New Roman"/>
          <w:color w:val="000000"/>
        </w:rPr>
      </w:pPr>
      <w:r w:rsidRPr="000E56C8">
        <w:rPr>
          <w:rFonts w:ascii="等线" w:eastAsia="等线" w:hAnsi="Times New Roman"/>
          <w:color w:val="000000"/>
        </w:rPr>
        <w:t>Advising UBS on the establishment of UBS SDIC Fund Management Co., Ltd.</w:t>
      </w:r>
    </w:p>
    <w:p w14:paraId="433F4F3E" w14:textId="77777777" w:rsidR="000E56C8" w:rsidRDefault="000E56C8" w:rsidP="000E56C8">
      <w:pPr>
        <w:pStyle w:val="af5"/>
        <w:numPr>
          <w:ilvl w:val="0"/>
          <w:numId w:val="46"/>
        </w:numPr>
        <w:spacing w:before="120"/>
        <w:ind w:left="690" w:hanging="240"/>
        <w:rPr>
          <w:rFonts w:ascii="等线" w:eastAsia="等线" w:hAnsi="Times New Roman"/>
          <w:color w:val="000000"/>
        </w:rPr>
      </w:pPr>
      <w:r w:rsidRPr="000E56C8">
        <w:rPr>
          <w:rFonts w:ascii="等线" w:eastAsia="等线" w:hAnsi="Times New Roman"/>
          <w:color w:val="000000"/>
        </w:rPr>
        <w:t>Advising SGAM on the capital increase of its fund management joint venture in China</w:t>
      </w:r>
    </w:p>
    <w:p w14:paraId="2BE039F8" w14:textId="77777777" w:rsidR="000E56C8" w:rsidRDefault="000E56C8" w:rsidP="000E56C8">
      <w:pPr>
        <w:pStyle w:val="af5"/>
        <w:numPr>
          <w:ilvl w:val="0"/>
          <w:numId w:val="47"/>
        </w:numPr>
        <w:spacing w:before="120"/>
        <w:ind w:left="690" w:hanging="240"/>
        <w:rPr>
          <w:rFonts w:ascii="等线" w:eastAsia="等线" w:hAnsi="Times New Roman"/>
          <w:color w:val="000000"/>
        </w:rPr>
      </w:pPr>
      <w:r w:rsidRPr="000E56C8">
        <w:rPr>
          <w:rFonts w:ascii="等线" w:eastAsia="等线" w:hAnsi="Times New Roman"/>
          <w:color w:val="000000"/>
        </w:rPr>
        <w:t>Advising KBC on the operational matters of its fund management joint venture in China</w:t>
      </w:r>
    </w:p>
    <w:p w14:paraId="6EA1D785" w14:textId="77777777" w:rsidR="000E56C8" w:rsidRDefault="000E56C8" w:rsidP="000E56C8">
      <w:pPr>
        <w:pStyle w:val="af5"/>
        <w:numPr>
          <w:ilvl w:val="0"/>
          <w:numId w:val="48"/>
        </w:numPr>
        <w:spacing w:before="120"/>
        <w:ind w:left="690" w:hanging="240"/>
        <w:rPr>
          <w:rFonts w:ascii="等线" w:eastAsia="等线" w:hAnsi="Times New Roman"/>
          <w:color w:val="000000"/>
        </w:rPr>
      </w:pPr>
      <w:r w:rsidRPr="000E56C8">
        <w:rPr>
          <w:rFonts w:ascii="等线" w:eastAsia="等线" w:hAnsi="Times New Roman"/>
          <w:color w:val="000000"/>
        </w:rPr>
        <w:t>Advising Morgan Stanley on the establishment of its commodities trading platform in China</w:t>
      </w:r>
    </w:p>
    <w:p w14:paraId="012BBC73" w14:textId="77777777" w:rsidR="000E56C8" w:rsidRDefault="000E56C8" w:rsidP="000E56C8">
      <w:pPr>
        <w:pStyle w:val="af5"/>
        <w:numPr>
          <w:ilvl w:val="0"/>
          <w:numId w:val="49"/>
        </w:numPr>
        <w:spacing w:before="120"/>
        <w:ind w:left="690" w:hanging="240"/>
        <w:rPr>
          <w:rFonts w:ascii="等线" w:eastAsia="等线" w:hAnsi="Times New Roman"/>
          <w:color w:val="000000"/>
        </w:rPr>
      </w:pPr>
      <w:r w:rsidRPr="000E56C8">
        <w:rPr>
          <w:rFonts w:ascii="等线" w:eastAsia="等线" w:hAnsi="Times New Roman"/>
          <w:color w:val="000000"/>
        </w:rPr>
        <w:t>Advising Deutsche Bank on the establishment of its commodities trading platform in China and its operating matters</w:t>
      </w:r>
    </w:p>
    <w:p w14:paraId="09B4295D" w14:textId="77777777" w:rsidR="000E56C8" w:rsidRDefault="000E56C8" w:rsidP="000E56C8">
      <w:pPr>
        <w:pStyle w:val="af5"/>
        <w:numPr>
          <w:ilvl w:val="0"/>
          <w:numId w:val="50"/>
        </w:numPr>
        <w:spacing w:before="120"/>
        <w:ind w:left="690" w:hanging="240"/>
        <w:rPr>
          <w:rFonts w:ascii="等线" w:eastAsia="等线" w:hAnsi="Times New Roman"/>
          <w:color w:val="000000"/>
        </w:rPr>
      </w:pPr>
      <w:r w:rsidRPr="000E56C8">
        <w:rPr>
          <w:rFonts w:ascii="等线" w:eastAsia="等线" w:hAnsi="Times New Roman"/>
          <w:color w:val="000000"/>
        </w:rPr>
        <w:t>Advising a major international investment bank on the establishment of its commodities trading platform in China</w:t>
      </w:r>
    </w:p>
    <w:p w14:paraId="347BE6F3" w14:textId="77777777" w:rsidR="000E56C8" w:rsidRDefault="000E56C8" w:rsidP="000E56C8">
      <w:pPr>
        <w:pStyle w:val="af5"/>
        <w:numPr>
          <w:ilvl w:val="0"/>
          <w:numId w:val="51"/>
        </w:numPr>
        <w:spacing w:before="120"/>
        <w:ind w:left="690" w:hanging="240"/>
        <w:rPr>
          <w:rFonts w:ascii="等线" w:eastAsia="等线" w:hAnsi="Times New Roman"/>
          <w:color w:val="000000"/>
        </w:rPr>
      </w:pPr>
      <w:r w:rsidRPr="000E56C8">
        <w:rPr>
          <w:rFonts w:ascii="等线" w:eastAsia="等线" w:hAnsi="Times New Roman"/>
          <w:color w:val="000000"/>
        </w:rPr>
        <w:t>Advising Citadel on its trading joint venture with Citic Venture Capital and the futures trading activities of the trading joint venture</w:t>
      </w:r>
    </w:p>
    <w:p w14:paraId="48E4DC15" w14:textId="77777777" w:rsidR="000E56C8" w:rsidRDefault="000E56C8" w:rsidP="000E56C8">
      <w:pPr>
        <w:pStyle w:val="af5"/>
        <w:numPr>
          <w:ilvl w:val="0"/>
          <w:numId w:val="52"/>
        </w:numPr>
        <w:spacing w:before="120"/>
        <w:ind w:left="690" w:hanging="240"/>
        <w:rPr>
          <w:rFonts w:ascii="等线" w:eastAsia="等线" w:hAnsi="Times New Roman"/>
          <w:color w:val="000000"/>
        </w:rPr>
      </w:pPr>
      <w:r w:rsidRPr="000E56C8">
        <w:rPr>
          <w:rFonts w:ascii="等线" w:eastAsia="等线" w:hAnsi="Times New Roman"/>
          <w:color w:val="000000"/>
        </w:rPr>
        <w:t>Advised UPS for its proposed investment into a PRC listed company through QFII</w:t>
      </w:r>
    </w:p>
    <w:p w14:paraId="7481F8C9" w14:textId="77777777" w:rsidR="000E56C8" w:rsidRDefault="000E56C8" w:rsidP="000E56C8">
      <w:pPr>
        <w:pStyle w:val="af5"/>
        <w:numPr>
          <w:ilvl w:val="0"/>
          <w:numId w:val="53"/>
        </w:numPr>
        <w:spacing w:before="120"/>
        <w:ind w:left="690" w:hanging="240"/>
        <w:rPr>
          <w:rFonts w:ascii="等线" w:eastAsia="等线" w:hAnsi="Times New Roman"/>
          <w:color w:val="000000"/>
        </w:rPr>
      </w:pPr>
      <w:r w:rsidRPr="000E56C8">
        <w:rPr>
          <w:rFonts w:ascii="等线" w:eastAsia="等线" w:hAnsi="Times New Roman"/>
          <w:color w:val="000000"/>
        </w:rPr>
        <w:t>Advised KKR on its negotiation of RQFII custodian agreement and other compliance-related matters</w:t>
      </w:r>
    </w:p>
    <w:p w14:paraId="7D1FF35C" w14:textId="77777777" w:rsidR="000E56C8" w:rsidRDefault="000E56C8" w:rsidP="000E56C8">
      <w:pPr>
        <w:pStyle w:val="af5"/>
        <w:numPr>
          <w:ilvl w:val="0"/>
          <w:numId w:val="54"/>
        </w:numPr>
        <w:spacing w:before="120"/>
        <w:ind w:left="690" w:hanging="240"/>
        <w:rPr>
          <w:rFonts w:ascii="等线" w:eastAsia="等线" w:hAnsi="Times New Roman"/>
          <w:color w:val="000000"/>
        </w:rPr>
      </w:pPr>
      <w:r w:rsidRPr="000E56C8">
        <w:rPr>
          <w:rFonts w:ascii="等线" w:eastAsia="等线" w:hAnsi="Times New Roman"/>
          <w:color w:val="000000"/>
        </w:rPr>
        <w:t>Advised Bank of Nova Scotia and SGAM in its QFII application</w:t>
      </w:r>
    </w:p>
    <w:p w14:paraId="63FE4D6E" w14:textId="77777777" w:rsidR="000E56C8" w:rsidRDefault="000E56C8" w:rsidP="000E56C8">
      <w:pPr>
        <w:pStyle w:val="af5"/>
        <w:numPr>
          <w:ilvl w:val="0"/>
          <w:numId w:val="55"/>
        </w:numPr>
        <w:spacing w:before="120"/>
        <w:ind w:left="690" w:hanging="240"/>
        <w:rPr>
          <w:rFonts w:ascii="等线" w:eastAsia="等线" w:hAnsi="Times New Roman"/>
          <w:color w:val="000000"/>
        </w:rPr>
      </w:pPr>
      <w:r w:rsidRPr="000E56C8">
        <w:rPr>
          <w:rFonts w:ascii="等线" w:eastAsia="等线" w:hAnsi="Times New Roman"/>
          <w:color w:val="000000"/>
        </w:rPr>
        <w:t>Advised UBS in its change of local brokers and preparation of QFII compliance manual</w:t>
      </w:r>
    </w:p>
    <w:p w14:paraId="70068FCF" w14:textId="77777777" w:rsidR="000E56C8" w:rsidRDefault="000E56C8" w:rsidP="000E56C8">
      <w:pPr>
        <w:pStyle w:val="af5"/>
        <w:numPr>
          <w:ilvl w:val="0"/>
          <w:numId w:val="56"/>
        </w:numPr>
        <w:spacing w:before="120"/>
        <w:ind w:left="690" w:hanging="240"/>
        <w:rPr>
          <w:rFonts w:ascii="等线" w:eastAsia="等线" w:hAnsi="Times New Roman"/>
          <w:color w:val="000000"/>
        </w:rPr>
      </w:pPr>
      <w:r w:rsidRPr="000E56C8">
        <w:rPr>
          <w:rFonts w:ascii="等线" w:eastAsia="等线" w:hAnsi="Times New Roman"/>
          <w:color w:val="000000"/>
        </w:rPr>
        <w:t>Advised Cascade LLC in its negotiation of QFII custodian and brokerage agreements</w:t>
      </w:r>
    </w:p>
    <w:p w14:paraId="4327A73F" w14:textId="77777777" w:rsidR="000E56C8" w:rsidRDefault="000E56C8" w:rsidP="000E56C8">
      <w:pPr>
        <w:pStyle w:val="af5"/>
        <w:numPr>
          <w:ilvl w:val="0"/>
          <w:numId w:val="57"/>
        </w:numPr>
        <w:spacing w:before="120"/>
        <w:ind w:left="690" w:hanging="240"/>
        <w:rPr>
          <w:rFonts w:ascii="等线" w:eastAsia="等线" w:hAnsi="Times New Roman"/>
          <w:color w:val="000000"/>
        </w:rPr>
      </w:pPr>
      <w:r w:rsidRPr="000E56C8">
        <w:rPr>
          <w:rFonts w:ascii="等线" w:eastAsia="等线" w:hAnsi="Times New Roman"/>
          <w:color w:val="000000"/>
        </w:rPr>
        <w:t>Advised BMGI on matters in relation to its QFII trading activities</w:t>
      </w:r>
    </w:p>
    <w:p w14:paraId="5F223E6B" w14:textId="77777777" w:rsidR="000E56C8" w:rsidRDefault="000E56C8" w:rsidP="000E56C8">
      <w:pPr>
        <w:pStyle w:val="af5"/>
        <w:numPr>
          <w:ilvl w:val="0"/>
          <w:numId w:val="58"/>
        </w:numPr>
        <w:spacing w:before="120"/>
        <w:ind w:left="690" w:hanging="240"/>
        <w:rPr>
          <w:rFonts w:ascii="等线" w:eastAsia="等线" w:hAnsi="Times New Roman"/>
          <w:color w:val="000000"/>
        </w:rPr>
      </w:pPr>
      <w:r w:rsidRPr="000E56C8">
        <w:rPr>
          <w:rFonts w:ascii="等线" w:eastAsia="等线" w:hAnsi="Times New Roman"/>
          <w:color w:val="000000"/>
        </w:rPr>
        <w:t>Advised multinational banks on standard interbank bond market documentation for their PRC securities joint ventures</w:t>
      </w:r>
    </w:p>
    <w:p w14:paraId="129B3916" w14:textId="77777777" w:rsidR="000E56C8" w:rsidRDefault="000E56C8" w:rsidP="000E56C8">
      <w:pPr>
        <w:pStyle w:val="af5"/>
        <w:numPr>
          <w:ilvl w:val="0"/>
          <w:numId w:val="59"/>
        </w:numPr>
        <w:spacing w:before="120"/>
        <w:ind w:left="690" w:hanging="240"/>
        <w:rPr>
          <w:rFonts w:ascii="等线" w:eastAsia="等线" w:hAnsi="Times New Roman"/>
          <w:color w:val="000000"/>
        </w:rPr>
      </w:pPr>
      <w:r w:rsidRPr="000E56C8">
        <w:rPr>
          <w:rFonts w:ascii="等线" w:eastAsia="等线" w:hAnsi="Times New Roman"/>
          <w:color w:val="000000"/>
        </w:rPr>
        <w:t>Advised BMGI on its access to the interbank bond market and relevant compliance matters</w:t>
      </w:r>
    </w:p>
    <w:p w14:paraId="7FA26901" w14:textId="77777777" w:rsidR="000E56C8" w:rsidRDefault="000E56C8" w:rsidP="000E56C8">
      <w:pPr>
        <w:pStyle w:val="af5"/>
        <w:numPr>
          <w:ilvl w:val="0"/>
          <w:numId w:val="60"/>
        </w:numPr>
        <w:spacing w:before="120"/>
        <w:ind w:left="690" w:hanging="240"/>
        <w:rPr>
          <w:rFonts w:ascii="等线" w:eastAsia="等线" w:hAnsi="Times New Roman"/>
          <w:color w:val="000000"/>
        </w:rPr>
      </w:pPr>
      <w:r w:rsidRPr="000E56C8">
        <w:rPr>
          <w:rFonts w:ascii="等线" w:eastAsia="等线" w:hAnsi="Times New Roman"/>
          <w:color w:val="000000"/>
        </w:rPr>
        <w:t>Advising Ernst &amp; Young in setting up its global service centre in Dalian</w:t>
      </w:r>
    </w:p>
    <w:p w14:paraId="73E67C50" w14:textId="77777777" w:rsidR="000E56C8" w:rsidRDefault="000E56C8" w:rsidP="000E56C8">
      <w:pPr>
        <w:pStyle w:val="af5"/>
        <w:numPr>
          <w:ilvl w:val="0"/>
          <w:numId w:val="61"/>
        </w:numPr>
        <w:spacing w:before="120"/>
        <w:ind w:left="690" w:hanging="240"/>
        <w:rPr>
          <w:rFonts w:ascii="等线" w:eastAsia="等线" w:hAnsi="Times New Roman"/>
          <w:color w:val="000000"/>
        </w:rPr>
      </w:pPr>
      <w:r w:rsidRPr="000E56C8">
        <w:rPr>
          <w:rFonts w:ascii="等线" w:eastAsia="等线" w:hAnsi="Times New Roman"/>
          <w:color w:val="000000"/>
        </w:rPr>
        <w:t>Advising Citic Securities on its proposed investment and co-operation with Bear Stearns</w:t>
      </w:r>
    </w:p>
    <w:p w14:paraId="5ED6805B" w14:textId="77777777" w:rsidR="000E56C8" w:rsidRDefault="000E56C8" w:rsidP="000E56C8">
      <w:pPr>
        <w:pStyle w:val="af5"/>
        <w:numPr>
          <w:ilvl w:val="0"/>
          <w:numId w:val="62"/>
        </w:numPr>
        <w:spacing w:before="120"/>
        <w:ind w:left="690" w:hanging="240"/>
        <w:rPr>
          <w:rFonts w:ascii="等线" w:eastAsia="等线" w:hAnsi="Times New Roman"/>
          <w:color w:val="000000"/>
        </w:rPr>
      </w:pPr>
      <w:r w:rsidRPr="000E56C8">
        <w:rPr>
          <w:rFonts w:ascii="等线" w:eastAsia="等线" w:hAnsi="Times New Roman"/>
          <w:color w:val="000000"/>
        </w:rPr>
        <w:t>Advising the liquidator of Lehman Brothers in disposal of its various PE investments</w:t>
      </w:r>
    </w:p>
    <w:p w14:paraId="54FCBC38" w14:textId="77777777" w:rsidR="000E56C8" w:rsidRDefault="000E56C8" w:rsidP="000E56C8">
      <w:pPr>
        <w:pStyle w:val="af5"/>
        <w:numPr>
          <w:ilvl w:val="0"/>
          <w:numId w:val="63"/>
        </w:numPr>
        <w:spacing w:before="120"/>
        <w:ind w:left="690" w:hanging="240"/>
        <w:rPr>
          <w:rFonts w:ascii="等线" w:eastAsia="等线" w:hAnsi="Times New Roman"/>
          <w:color w:val="000000"/>
        </w:rPr>
      </w:pPr>
      <w:r w:rsidRPr="000E56C8">
        <w:rPr>
          <w:rFonts w:ascii="等线" w:eastAsia="等线" w:hAnsi="Times New Roman"/>
          <w:color w:val="000000"/>
        </w:rPr>
        <w:t>Advising JPMorgan on its first underwriting of PRC government bonds</w:t>
      </w:r>
    </w:p>
    <w:p w14:paraId="7FB3D4D8" w14:textId="77777777" w:rsidR="000E56C8" w:rsidRDefault="000E56C8" w:rsidP="000E56C8">
      <w:pPr>
        <w:pStyle w:val="af5"/>
        <w:numPr>
          <w:ilvl w:val="0"/>
          <w:numId w:val="64"/>
        </w:numPr>
        <w:spacing w:before="120"/>
        <w:ind w:left="690" w:hanging="240"/>
        <w:rPr>
          <w:rFonts w:ascii="等线" w:eastAsia="等线" w:hAnsi="Times New Roman"/>
          <w:color w:val="000000"/>
        </w:rPr>
      </w:pPr>
      <w:r w:rsidRPr="000E56C8">
        <w:rPr>
          <w:rFonts w:ascii="等线" w:eastAsia="等线" w:hAnsi="Times New Roman"/>
          <w:color w:val="000000"/>
        </w:rPr>
        <w:t>Advising JPMorgan on the underwriting of financial bonds in China</w:t>
      </w:r>
    </w:p>
    <w:p w14:paraId="63E17457" w14:textId="77777777" w:rsidR="000E56C8" w:rsidRDefault="000E56C8" w:rsidP="000E56C8">
      <w:pPr>
        <w:pStyle w:val="af5"/>
        <w:numPr>
          <w:ilvl w:val="0"/>
          <w:numId w:val="65"/>
        </w:numPr>
        <w:spacing w:before="120"/>
        <w:ind w:left="690" w:hanging="240"/>
        <w:rPr>
          <w:rFonts w:ascii="等线" w:eastAsia="等线" w:hAnsi="Times New Roman"/>
          <w:color w:val="000000"/>
        </w:rPr>
      </w:pPr>
      <w:r w:rsidRPr="000E56C8">
        <w:rPr>
          <w:rFonts w:ascii="等线" w:eastAsia="等线" w:hAnsi="Times New Roman"/>
          <w:color w:val="000000"/>
        </w:rPr>
        <w:t>Advising BBVA on its standard PRC bank accounts documentation</w:t>
      </w:r>
    </w:p>
    <w:p w14:paraId="01B144F5" w14:textId="77777777" w:rsidR="000E56C8" w:rsidRDefault="000E56C8" w:rsidP="000E56C8">
      <w:pPr>
        <w:pStyle w:val="af5"/>
        <w:numPr>
          <w:ilvl w:val="0"/>
          <w:numId w:val="66"/>
        </w:numPr>
        <w:spacing w:before="120"/>
        <w:ind w:left="690" w:hanging="240"/>
        <w:rPr>
          <w:rFonts w:ascii="等线" w:eastAsia="等线" w:hAnsi="Times New Roman"/>
          <w:color w:val="000000"/>
        </w:rPr>
      </w:pPr>
      <w:r w:rsidRPr="000E56C8">
        <w:rPr>
          <w:rFonts w:ascii="等线" w:eastAsia="等线" w:hAnsi="Times New Roman"/>
          <w:color w:val="000000"/>
        </w:rPr>
        <w:t>Advising RBS on the transfer of the contracts and employees of its retail business in China</w:t>
      </w:r>
    </w:p>
    <w:p w14:paraId="065B8B1C" w14:textId="77777777" w:rsidR="000E56C8" w:rsidRDefault="000E56C8" w:rsidP="000E56C8">
      <w:pPr>
        <w:pStyle w:val="af5"/>
        <w:numPr>
          <w:ilvl w:val="0"/>
          <w:numId w:val="67"/>
        </w:numPr>
        <w:spacing w:before="120"/>
        <w:ind w:left="690" w:hanging="240"/>
        <w:rPr>
          <w:rFonts w:ascii="等线" w:eastAsia="等线" w:hAnsi="Times New Roman"/>
          <w:color w:val="000000"/>
        </w:rPr>
      </w:pPr>
      <w:r w:rsidRPr="000E56C8">
        <w:rPr>
          <w:rFonts w:ascii="等线" w:eastAsia="等线" w:hAnsi="Times New Roman"/>
          <w:color w:val="000000"/>
        </w:rPr>
        <w:t>Advising Bank of Montreal on its advisory services in China</w:t>
      </w:r>
    </w:p>
    <w:p w14:paraId="5AA5CF86" w14:textId="77777777" w:rsidR="000E56C8" w:rsidRDefault="000E56C8" w:rsidP="000E56C8">
      <w:pPr>
        <w:pStyle w:val="af5"/>
        <w:numPr>
          <w:ilvl w:val="0"/>
          <w:numId w:val="68"/>
        </w:numPr>
        <w:spacing w:before="120"/>
        <w:ind w:left="690" w:hanging="240"/>
        <w:rPr>
          <w:rFonts w:ascii="等线" w:eastAsia="等线" w:hAnsi="Times New Roman"/>
          <w:color w:val="000000"/>
        </w:rPr>
      </w:pPr>
      <w:r w:rsidRPr="000E56C8">
        <w:rPr>
          <w:rFonts w:ascii="等线" w:eastAsia="等线" w:hAnsi="Times New Roman"/>
          <w:color w:val="000000"/>
        </w:rPr>
        <w:t>Advising Bank of America on banking and securities licence and activities in China</w:t>
      </w:r>
    </w:p>
    <w:p w14:paraId="70A75AC7" w14:textId="77777777" w:rsidR="000E56C8" w:rsidRDefault="000E56C8" w:rsidP="000E56C8">
      <w:pPr>
        <w:pStyle w:val="af5"/>
        <w:numPr>
          <w:ilvl w:val="0"/>
          <w:numId w:val="69"/>
        </w:numPr>
        <w:spacing w:before="120"/>
        <w:ind w:left="690" w:hanging="240"/>
        <w:rPr>
          <w:rFonts w:ascii="等线" w:eastAsia="等线" w:hAnsi="Times New Roman"/>
          <w:color w:val="000000"/>
        </w:rPr>
      </w:pPr>
      <w:r w:rsidRPr="000E56C8">
        <w:rPr>
          <w:rFonts w:ascii="等线" w:eastAsia="等线" w:hAnsi="Times New Roman"/>
          <w:color w:val="000000"/>
        </w:rPr>
        <w:t>Advising MLBS on its bank account documents</w:t>
      </w:r>
    </w:p>
    <w:p w14:paraId="06BE4D48" w14:textId="77777777" w:rsidR="000E56C8" w:rsidRDefault="000E56C8" w:rsidP="000E56C8">
      <w:pPr>
        <w:pStyle w:val="af5"/>
        <w:numPr>
          <w:ilvl w:val="0"/>
          <w:numId w:val="70"/>
        </w:numPr>
        <w:spacing w:before="120"/>
        <w:ind w:left="690" w:hanging="240"/>
        <w:rPr>
          <w:rFonts w:ascii="等线" w:eastAsia="等线" w:hAnsi="Times New Roman"/>
          <w:color w:val="000000"/>
        </w:rPr>
      </w:pPr>
      <w:r w:rsidRPr="000E56C8">
        <w:rPr>
          <w:rFonts w:ascii="等线" w:eastAsia="等线" w:hAnsi="Times New Roman"/>
          <w:color w:val="000000"/>
        </w:rPr>
        <w:t>Advising Wachovia Bank on the PRC regulatory requirements on real estate lending/financing activities</w:t>
      </w:r>
    </w:p>
    <w:p w14:paraId="0C60562A" w14:textId="77777777" w:rsidR="000E56C8" w:rsidRDefault="000E56C8" w:rsidP="000E56C8">
      <w:pPr>
        <w:pStyle w:val="af5"/>
        <w:numPr>
          <w:ilvl w:val="0"/>
          <w:numId w:val="71"/>
        </w:numPr>
        <w:spacing w:before="120"/>
        <w:ind w:left="690" w:hanging="240"/>
        <w:rPr>
          <w:rFonts w:ascii="等线" w:eastAsia="等线" w:hAnsi="Times New Roman"/>
          <w:color w:val="000000"/>
        </w:rPr>
      </w:pPr>
      <w:r w:rsidRPr="000E56C8">
        <w:rPr>
          <w:rFonts w:ascii="等线" w:eastAsia="等线" w:hAnsi="Times New Roman"/>
          <w:color w:val="000000"/>
        </w:rPr>
        <w:t>Advising Merrill Lynch on opening of offshore accounts by PRC individuals and entities for trading securities</w:t>
      </w:r>
    </w:p>
    <w:p w14:paraId="178B8B27" w14:textId="77777777" w:rsidR="000E56C8" w:rsidRDefault="000E56C8" w:rsidP="000E56C8">
      <w:pPr>
        <w:pStyle w:val="af5"/>
        <w:numPr>
          <w:ilvl w:val="0"/>
          <w:numId w:val="72"/>
        </w:numPr>
        <w:spacing w:before="120"/>
        <w:ind w:left="690" w:hanging="240"/>
        <w:rPr>
          <w:rFonts w:ascii="等线" w:eastAsia="等线" w:hAnsi="Times New Roman"/>
          <w:color w:val="000000"/>
        </w:rPr>
      </w:pPr>
      <w:r w:rsidRPr="000E56C8">
        <w:rPr>
          <w:rFonts w:ascii="等线" w:eastAsia="等线" w:hAnsi="Times New Roman"/>
          <w:color w:val="000000"/>
        </w:rPr>
        <w:t>Advising MSCI on its licensing agreement with Shanghai Stock Exchange in respect of use of securities information</w:t>
      </w:r>
    </w:p>
    <w:p w14:paraId="378A93D7" w14:textId="77777777" w:rsidR="000E56C8" w:rsidRDefault="000E56C8" w:rsidP="000E56C8">
      <w:pPr>
        <w:pStyle w:val="af5"/>
        <w:numPr>
          <w:ilvl w:val="0"/>
          <w:numId w:val="73"/>
        </w:numPr>
        <w:spacing w:before="120"/>
        <w:ind w:left="690" w:hanging="240"/>
        <w:rPr>
          <w:rFonts w:ascii="等线" w:eastAsia="等线" w:hAnsi="Times New Roman"/>
          <w:color w:val="000000"/>
        </w:rPr>
      </w:pPr>
      <w:r w:rsidRPr="000E56C8">
        <w:rPr>
          <w:rFonts w:ascii="等线" w:eastAsia="等线" w:hAnsi="Times New Roman"/>
          <w:color w:val="000000"/>
        </w:rPr>
        <w:t>Advising a major international accounting firm on liquidation and dissolution of one of its operations in China</w:t>
      </w:r>
    </w:p>
    <w:p w14:paraId="5C656A8D" w14:textId="77777777" w:rsidR="000E56C8" w:rsidRDefault="000E56C8" w:rsidP="000E56C8">
      <w:pPr>
        <w:pStyle w:val="af5"/>
        <w:spacing w:after="0" w:line="480" w:lineRule="auto"/>
        <w:rPr>
          <w:rFonts w:ascii="等线" w:eastAsia="等线" w:hAnsi="等线"/>
          <w:b/>
          <w:sz w:val="24"/>
        </w:rPr>
      </w:pPr>
      <w:r w:rsidRPr="000E56C8">
        <w:rPr>
          <w:rFonts w:ascii="等线" w:eastAsia="等线" w:hAnsi="等线"/>
          <w:b/>
          <w:sz w:val="24"/>
        </w:rPr>
        <w:t>Education</w:t>
      </w:r>
    </w:p>
    <w:p w14:paraId="57A07844" w14:textId="77777777" w:rsidR="000E56C8" w:rsidRDefault="000E56C8" w:rsidP="000E56C8">
      <w:pPr>
        <w:pStyle w:val="af5"/>
        <w:numPr>
          <w:ilvl w:val="0"/>
          <w:numId w:val="74"/>
        </w:numPr>
        <w:spacing w:before="120"/>
        <w:ind w:left="690" w:hanging="240"/>
        <w:rPr>
          <w:rFonts w:ascii="等线" w:eastAsia="等线" w:hAnsi="Times New Roman"/>
          <w:color w:val="000000"/>
        </w:rPr>
      </w:pPr>
      <w:r w:rsidRPr="000E56C8">
        <w:rPr>
          <w:rFonts w:ascii="等线" w:eastAsia="等线" w:hAnsi="Times New Roman"/>
          <w:color w:val="000000"/>
        </w:rPr>
        <w:t>Law School Peking University, LL.B</w:t>
      </w:r>
    </w:p>
    <w:p w14:paraId="3F47EB01" w14:textId="77777777" w:rsidR="000E56C8" w:rsidRDefault="000E56C8" w:rsidP="000E56C8">
      <w:pPr>
        <w:pStyle w:val="af5"/>
        <w:numPr>
          <w:ilvl w:val="0"/>
          <w:numId w:val="75"/>
        </w:numPr>
        <w:spacing w:before="120"/>
        <w:ind w:left="690" w:hanging="240"/>
        <w:rPr>
          <w:rFonts w:ascii="等线" w:eastAsia="等线" w:hAnsi="Times New Roman"/>
          <w:color w:val="000000"/>
        </w:rPr>
      </w:pPr>
      <w:r w:rsidRPr="000E56C8">
        <w:rPr>
          <w:rFonts w:ascii="等线" w:eastAsia="等线" w:hAnsi="Times New Roman"/>
          <w:color w:val="000000"/>
        </w:rPr>
        <w:t>Columbia Law School, LL.M</w:t>
      </w:r>
    </w:p>
    <w:p w14:paraId="42FA0DD3" w14:textId="77777777" w:rsidR="000E56C8" w:rsidRDefault="000E56C8" w:rsidP="000E56C8">
      <w:pPr>
        <w:pStyle w:val="af5"/>
        <w:spacing w:after="0" w:line="480" w:lineRule="auto"/>
        <w:rPr>
          <w:rFonts w:ascii="等线" w:eastAsia="等线" w:hAnsi="等线"/>
          <w:b/>
          <w:sz w:val="24"/>
        </w:rPr>
      </w:pPr>
      <w:r w:rsidRPr="000E56C8">
        <w:rPr>
          <w:rFonts w:ascii="等线" w:eastAsia="等线" w:hAnsi="等线"/>
          <w:b/>
          <w:sz w:val="24"/>
        </w:rPr>
        <w:t>Professional Qualification</w:t>
      </w:r>
    </w:p>
    <w:p w14:paraId="37025244" w14:textId="77777777" w:rsidR="000E56C8" w:rsidRDefault="000E56C8" w:rsidP="000E56C8">
      <w:pPr>
        <w:pStyle w:val="af5"/>
        <w:numPr>
          <w:ilvl w:val="0"/>
          <w:numId w:val="76"/>
        </w:numPr>
        <w:spacing w:before="120"/>
        <w:ind w:left="690" w:hanging="240"/>
        <w:rPr>
          <w:rFonts w:ascii="等线" w:eastAsia="等线" w:hAnsi="Times New Roman"/>
          <w:color w:val="000000"/>
        </w:rPr>
      </w:pPr>
      <w:r w:rsidRPr="000E56C8">
        <w:rPr>
          <w:rFonts w:ascii="等线" w:eastAsia="等线" w:hAnsi="Times New Roman"/>
          <w:color w:val="000000"/>
        </w:rPr>
        <w:t>Admitted to practice in the PRC</w:t>
      </w:r>
    </w:p>
    <w:p w14:paraId="7D3295E1" w14:textId="77777777" w:rsidR="000E56C8" w:rsidRDefault="000E56C8" w:rsidP="000E56C8">
      <w:pPr>
        <w:pStyle w:val="af5"/>
        <w:numPr>
          <w:ilvl w:val="0"/>
          <w:numId w:val="77"/>
        </w:numPr>
        <w:spacing w:before="120"/>
        <w:ind w:left="690" w:hanging="240"/>
        <w:rPr>
          <w:rFonts w:ascii="等线" w:eastAsia="等线" w:hAnsi="Times New Roman"/>
          <w:color w:val="000000"/>
        </w:rPr>
      </w:pPr>
      <w:r w:rsidRPr="000E56C8">
        <w:rPr>
          <w:rFonts w:ascii="等线" w:eastAsia="等线" w:hAnsi="Times New Roman"/>
          <w:color w:val="000000"/>
        </w:rPr>
        <w:t>Admitted to practice in New York</w:t>
      </w:r>
    </w:p>
    <w:p w14:paraId="21AF7A2C" w14:textId="77777777" w:rsidR="000E56C8" w:rsidRDefault="000E56C8" w:rsidP="000E56C8">
      <w:pPr>
        <w:pStyle w:val="af5"/>
        <w:spacing w:after="0" w:line="480" w:lineRule="auto"/>
        <w:rPr>
          <w:rFonts w:ascii="等线" w:eastAsia="等线" w:hAnsi="等线"/>
          <w:b/>
          <w:sz w:val="24"/>
        </w:rPr>
      </w:pPr>
      <w:r w:rsidRPr="000E56C8">
        <w:rPr>
          <w:rFonts w:ascii="等线" w:eastAsia="等线" w:hAnsi="等线"/>
          <w:b/>
          <w:sz w:val="24"/>
        </w:rPr>
        <w:t>Professional Background</w:t>
      </w:r>
    </w:p>
    <w:p w14:paraId="6DE72D3F" w14:textId="77777777" w:rsidR="000E56C8" w:rsidRDefault="000E56C8" w:rsidP="000E56C8">
      <w:pPr>
        <w:pStyle w:val="af5"/>
        <w:numPr>
          <w:ilvl w:val="0"/>
          <w:numId w:val="78"/>
        </w:numPr>
        <w:spacing w:before="120"/>
        <w:ind w:left="690" w:hanging="240"/>
        <w:rPr>
          <w:rFonts w:ascii="等线" w:eastAsia="等线" w:hAnsi="Times New Roman"/>
          <w:color w:val="000000"/>
        </w:rPr>
      </w:pPr>
      <w:r w:rsidRPr="000E56C8">
        <w:rPr>
          <w:rFonts w:ascii="等线" w:eastAsia="等线" w:hAnsi="Times New Roman"/>
          <w:color w:val="000000"/>
        </w:rPr>
        <w:t>Prior to joining Fangda Partners, he worked as head of compliance in an internationally renowned investment bank's domestic subsidiary on all its China investments. His work dealt with securities, futures, funds, commodities, trusts, guarantees, special opportunity group and quant research. He gained an abundance of experience handling the legal and compliance affairs of financial enterprises. He also worked in an international law firm for many years.</w:t>
      </w:r>
    </w:p>
    <w:p w14:paraId="27AE54FD" w14:textId="77777777" w:rsidR="000E56C8" w:rsidRDefault="000E56C8" w:rsidP="000E56C8">
      <w:pPr>
        <w:pStyle w:val="af5"/>
        <w:spacing w:after="0" w:line="480" w:lineRule="auto"/>
        <w:rPr>
          <w:rFonts w:ascii="等线" w:eastAsia="等线" w:hAnsi="等线"/>
          <w:b/>
          <w:sz w:val="24"/>
        </w:rPr>
      </w:pPr>
      <w:r w:rsidRPr="000E56C8">
        <w:rPr>
          <w:rFonts w:ascii="等线" w:eastAsia="等线" w:hAnsi="等线"/>
          <w:b/>
          <w:sz w:val="24"/>
        </w:rPr>
        <w:t>OTHER INFORMATION</w:t>
      </w:r>
    </w:p>
    <w:p w14:paraId="5707D386" w14:textId="77777777" w:rsidR="000E56C8" w:rsidRDefault="000E56C8" w:rsidP="000E56C8">
      <w:pPr>
        <w:pStyle w:val="af5"/>
        <w:spacing w:after="0" w:line="480" w:lineRule="auto"/>
        <w:rPr>
          <w:rFonts w:ascii="等线" w:eastAsia="等线" w:hAnsi="等线"/>
          <w:b/>
          <w:sz w:val="24"/>
        </w:rPr>
      </w:pPr>
      <w:r w:rsidRPr="000E56C8">
        <w:rPr>
          <w:rFonts w:ascii="等线" w:eastAsia="等线" w:hAnsi="等线"/>
          <w:b/>
          <w:sz w:val="24"/>
        </w:rPr>
        <w:t>Publications</w:t>
      </w:r>
    </w:p>
    <w:p w14:paraId="4BC7F1DD" w14:textId="77777777" w:rsidR="000E56C8" w:rsidRDefault="000E56C8" w:rsidP="000E56C8">
      <w:pPr>
        <w:pStyle w:val="af5"/>
        <w:numPr>
          <w:ilvl w:val="0"/>
          <w:numId w:val="79"/>
        </w:numPr>
        <w:spacing w:before="120"/>
        <w:ind w:left="690" w:hanging="240"/>
        <w:rPr>
          <w:rFonts w:ascii="等线" w:eastAsia="等线" w:hAnsi="Times New Roman"/>
          <w:color w:val="000000"/>
        </w:rPr>
      </w:pPr>
      <w:r w:rsidRPr="000E56C8">
        <w:rPr>
          <w:rFonts w:ascii="等线" w:eastAsia="等线" w:hAnsi="Times New Roman"/>
          <w:color w:val="000000"/>
        </w:rPr>
        <w:t xml:space="preserve">China Chapter of The Asset Management Review (Fifth Edition) </w:t>
      </w:r>
    </w:p>
    <w:p w14:paraId="028C9AE0" w14:textId="77777777" w:rsidR="000E56C8" w:rsidRDefault="000E56C8" w:rsidP="000E56C8">
      <w:pPr>
        <w:pStyle w:val="af5"/>
        <w:numPr>
          <w:ilvl w:val="0"/>
          <w:numId w:val="80"/>
        </w:numPr>
        <w:spacing w:before="120"/>
        <w:ind w:left="690" w:hanging="240"/>
        <w:rPr>
          <w:rFonts w:ascii="等线" w:eastAsia="等线" w:hAnsi="Times New Roman"/>
          <w:color w:val="000000"/>
        </w:rPr>
      </w:pPr>
      <w:r w:rsidRPr="000E56C8">
        <w:rPr>
          <w:rFonts w:ascii="等线" w:eastAsia="等线" w:hAnsi="Times New Roman"/>
          <w:color w:val="000000"/>
        </w:rPr>
        <w:t xml:space="preserve">China Chapter of The Hedge Funds </w:t>
      </w:r>
      <w:r w:rsidRPr="000E56C8">
        <w:rPr>
          <w:rFonts w:ascii="等线" w:eastAsia="等线" w:hAnsi="Times New Roman"/>
          <w:color w:val="000000"/>
        </w:rPr>
        <w:t>—</w:t>
      </w:r>
      <w:r w:rsidRPr="000E56C8">
        <w:rPr>
          <w:rFonts w:ascii="等线" w:eastAsia="等线" w:hAnsi="Times New Roman"/>
          <w:color w:val="000000"/>
        </w:rPr>
        <w:t xml:space="preserve"> A Practical Global Handbook to the Law and Regulation (Second Edition) </w:t>
      </w:r>
    </w:p>
    <w:p w14:paraId="7F48C2A4" w14:textId="77777777" w:rsidR="000E56C8" w:rsidRDefault="000E56C8" w:rsidP="000E56C8">
      <w:pPr>
        <w:pStyle w:val="af5"/>
        <w:numPr>
          <w:ilvl w:val="0"/>
          <w:numId w:val="81"/>
        </w:numPr>
        <w:spacing w:before="120"/>
        <w:ind w:left="690" w:hanging="240"/>
        <w:rPr>
          <w:rFonts w:ascii="等线" w:eastAsia="等线" w:hAnsi="Times New Roman"/>
          <w:color w:val="000000"/>
        </w:rPr>
      </w:pPr>
      <w:r w:rsidRPr="000E56C8">
        <w:rPr>
          <w:rFonts w:ascii="等线" w:eastAsia="等线" w:hAnsi="Times New Roman"/>
          <w:color w:val="000000"/>
        </w:rPr>
        <w:t xml:space="preserve">China Chapter of FINTECH </w:t>
      </w:r>
      <w:r w:rsidRPr="000E56C8">
        <w:rPr>
          <w:rFonts w:ascii="等线" w:eastAsia="等线" w:hAnsi="Times New Roman"/>
          <w:color w:val="000000"/>
        </w:rPr>
        <w:t>—</w:t>
      </w:r>
      <w:r w:rsidRPr="000E56C8">
        <w:rPr>
          <w:rFonts w:ascii="等线" w:eastAsia="等线" w:hAnsi="Times New Roman"/>
          <w:color w:val="000000"/>
        </w:rPr>
        <w:t xml:space="preserve"> International Comparative Legal Guides (Six Edition) </w:t>
      </w:r>
    </w:p>
    <w:p w14:paraId="0FFB06F1" w14:textId="77777777" w:rsidR="000E56C8" w:rsidRDefault="000E56C8" w:rsidP="000E56C8">
      <w:pPr>
        <w:pStyle w:val="af5"/>
        <w:numPr>
          <w:ilvl w:val="0"/>
          <w:numId w:val="82"/>
        </w:numPr>
        <w:spacing w:before="120"/>
        <w:ind w:left="690" w:hanging="240"/>
        <w:rPr>
          <w:rFonts w:ascii="等线" w:eastAsia="等线" w:hAnsi="Times New Roman"/>
          <w:color w:val="000000"/>
        </w:rPr>
      </w:pPr>
      <w:r w:rsidRPr="000E56C8">
        <w:rPr>
          <w:rFonts w:ascii="等线" w:eastAsia="等线" w:hAnsi="Times New Roman"/>
          <w:color w:val="000000"/>
        </w:rPr>
        <w:t xml:space="preserve">China Chapter of Digital Business 2023 </w:t>
      </w:r>
      <w:r w:rsidRPr="000E56C8">
        <w:rPr>
          <w:rFonts w:ascii="等线" w:eastAsia="等线" w:hAnsi="Times New Roman"/>
          <w:color w:val="000000"/>
        </w:rPr>
        <w:t>—</w:t>
      </w:r>
      <w:r w:rsidRPr="000E56C8">
        <w:rPr>
          <w:rFonts w:ascii="等线" w:eastAsia="等线" w:hAnsi="Times New Roman"/>
          <w:color w:val="000000"/>
        </w:rPr>
        <w:t xml:space="preserve"> International Comparative Legal Guides </w:t>
      </w:r>
    </w:p>
    <w:p w14:paraId="415ECDC4" w14:textId="77777777" w:rsidR="000E56C8" w:rsidRDefault="000E56C8" w:rsidP="000E56C8">
      <w:pPr>
        <w:pStyle w:val="af5"/>
        <w:numPr>
          <w:ilvl w:val="0"/>
          <w:numId w:val="83"/>
        </w:numPr>
        <w:spacing w:before="120"/>
        <w:ind w:left="690" w:hanging="240"/>
        <w:rPr>
          <w:rFonts w:ascii="等线" w:eastAsia="等线" w:hAnsi="Times New Roman"/>
          <w:color w:val="000000"/>
        </w:rPr>
      </w:pPr>
      <w:r w:rsidRPr="000E56C8">
        <w:rPr>
          <w:rFonts w:ascii="等线" w:eastAsia="等线" w:hAnsi="Times New Roman"/>
          <w:color w:val="000000"/>
        </w:rPr>
        <w:t>ASIFMA</w:t>
      </w:r>
      <w:r w:rsidRPr="000E56C8">
        <w:rPr>
          <w:rFonts w:ascii="等线" w:eastAsia="等线" w:hAnsi="Times New Roman"/>
          <w:color w:val="000000"/>
        </w:rPr>
        <w:t>’</w:t>
      </w:r>
      <w:r w:rsidRPr="000E56C8">
        <w:rPr>
          <w:rFonts w:ascii="等线" w:eastAsia="等线" w:hAnsi="Times New Roman"/>
          <w:color w:val="000000"/>
        </w:rPr>
        <w:t>s 2023 Capital Markets White Paper</w:t>
      </w:r>
      <w:r w:rsidRPr="000E56C8">
        <w:rPr>
          <w:rFonts w:ascii="等线" w:eastAsia="等线" w:hAnsi="Times New Roman"/>
          <w:color w:val="000000"/>
        </w:rPr>
        <w:t> </w:t>
      </w:r>
      <w:r w:rsidRPr="000E56C8">
        <w:rPr>
          <w:rFonts w:ascii="等线" w:eastAsia="等线" w:hAnsi="Times New Roman"/>
          <w:color w:val="000000"/>
        </w:rPr>
        <w:t xml:space="preserve"> </w:t>
      </w:r>
      <w:r w:rsidRPr="000E56C8">
        <w:rPr>
          <w:rFonts w:ascii="等线" w:eastAsia="等线" w:hAnsi="Times New Roman"/>
          <w:color w:val="000000"/>
        </w:rPr>
        <w:t>— </w:t>
      </w:r>
      <w:r w:rsidRPr="000E56C8">
        <w:rPr>
          <w:rFonts w:ascii="等线" w:eastAsia="等线" w:hAnsi="Times New Roman"/>
          <w:color w:val="000000"/>
        </w:rPr>
        <w:t xml:space="preserve"> China</w:t>
      </w:r>
      <w:r w:rsidRPr="000E56C8">
        <w:rPr>
          <w:rFonts w:ascii="等线" w:eastAsia="等线" w:hAnsi="Times New Roman"/>
          <w:color w:val="000000"/>
        </w:rPr>
        <w:t>’</w:t>
      </w:r>
      <w:r w:rsidRPr="000E56C8">
        <w:rPr>
          <w:rFonts w:ascii="等线" w:eastAsia="等线" w:hAnsi="Times New Roman"/>
          <w:color w:val="000000"/>
        </w:rPr>
        <w:t xml:space="preserve">s Capital Markets: A Market in Transition </w:t>
      </w:r>
    </w:p>
    <w:p w14:paraId="4E2CA677" w14:textId="77777777" w:rsidR="000E56C8" w:rsidRDefault="000E56C8" w:rsidP="000E56C8">
      <w:pPr>
        <w:pStyle w:val="af5"/>
        <w:numPr>
          <w:ilvl w:val="0"/>
          <w:numId w:val="84"/>
        </w:numPr>
        <w:spacing w:before="120"/>
        <w:ind w:left="690" w:hanging="240"/>
        <w:rPr>
          <w:rFonts w:ascii="等线" w:eastAsia="等线" w:hAnsi="Times New Roman"/>
          <w:color w:val="000000"/>
        </w:rPr>
      </w:pPr>
      <w:r w:rsidRPr="000E56C8">
        <w:rPr>
          <w:rFonts w:ascii="等线" w:eastAsia="等线" w:hAnsi="Times New Roman"/>
          <w:color w:val="000000"/>
        </w:rPr>
        <w:t xml:space="preserve">The Anti-Money Laundering Law Review: China </w:t>
      </w:r>
      <w:r w:rsidRPr="000E56C8">
        <w:rPr>
          <w:rFonts w:ascii="等线" w:eastAsia="等线" w:hAnsi="Times New Roman"/>
          <w:color w:val="000000"/>
        </w:rPr>
        <w:t>—</w:t>
      </w:r>
      <w:r w:rsidRPr="000E56C8">
        <w:rPr>
          <w:rFonts w:ascii="等线" w:eastAsia="等线" w:hAnsi="Times New Roman"/>
          <w:color w:val="000000"/>
        </w:rPr>
        <w:t xml:space="preserve"> Lexology </w:t>
      </w:r>
    </w:p>
    <w:p w14:paraId="66D72D25" w14:textId="77777777" w:rsidR="000E56C8" w:rsidRDefault="000E56C8" w:rsidP="000E56C8">
      <w:pPr>
        <w:pStyle w:val="af5"/>
        <w:numPr>
          <w:ilvl w:val="0"/>
          <w:numId w:val="85"/>
        </w:numPr>
        <w:spacing w:before="120"/>
        <w:ind w:left="690" w:hanging="240"/>
        <w:rPr>
          <w:rFonts w:ascii="等线" w:eastAsia="等线" w:hAnsi="Times New Roman"/>
          <w:color w:val="000000"/>
        </w:rPr>
      </w:pPr>
      <w:r w:rsidRPr="000E56C8">
        <w:rPr>
          <w:rFonts w:ascii="等线" w:eastAsia="等线" w:hAnsi="Times New Roman"/>
          <w:color w:val="000000"/>
        </w:rPr>
        <w:t xml:space="preserve">PANORAMIC Financial Services M&amp;A China 2024 </w:t>
      </w:r>
      <w:r w:rsidRPr="000E56C8">
        <w:rPr>
          <w:rFonts w:ascii="等线" w:eastAsia="等线" w:hAnsi="Times New Roman"/>
          <w:color w:val="000000"/>
        </w:rPr>
        <w:t>—</w:t>
      </w:r>
      <w:r w:rsidRPr="000E56C8">
        <w:rPr>
          <w:rFonts w:ascii="等线" w:eastAsia="等线" w:hAnsi="Times New Roman"/>
          <w:color w:val="000000"/>
        </w:rPr>
        <w:t xml:space="preserve"> Lexology </w:t>
      </w:r>
    </w:p>
    <w:p w14:paraId="397AB751" w14:textId="77777777" w:rsidR="000E56C8" w:rsidRDefault="000E56C8" w:rsidP="000E56C8">
      <w:pPr>
        <w:pStyle w:val="af5"/>
        <w:spacing w:after="0" w:line="480" w:lineRule="auto"/>
        <w:rPr>
          <w:rFonts w:ascii="等线" w:eastAsia="等线" w:hAnsi="等线"/>
          <w:b/>
          <w:sz w:val="24"/>
        </w:rPr>
      </w:pPr>
      <w:r w:rsidRPr="000E56C8">
        <w:rPr>
          <w:rFonts w:ascii="等线" w:eastAsia="等线" w:hAnsi="等线"/>
          <w:b/>
          <w:sz w:val="24"/>
        </w:rPr>
        <w:t>Honors and Awards</w:t>
      </w:r>
    </w:p>
    <w:p w14:paraId="098D48B2" w14:textId="77777777" w:rsidR="000E56C8" w:rsidRDefault="000E56C8" w:rsidP="000E56C8">
      <w:pPr>
        <w:pStyle w:val="af5"/>
        <w:numPr>
          <w:ilvl w:val="0"/>
          <w:numId w:val="86"/>
        </w:numPr>
        <w:spacing w:before="120"/>
        <w:ind w:left="690" w:hanging="240"/>
        <w:rPr>
          <w:rFonts w:ascii="等线" w:eastAsia="等线" w:hAnsi="Times New Roman"/>
          <w:color w:val="000000"/>
        </w:rPr>
      </w:pPr>
      <w:r w:rsidRPr="000E56C8">
        <w:rPr>
          <w:rFonts w:ascii="等线" w:eastAsia="等线" w:hAnsi="Times New Roman"/>
          <w:color w:val="000000"/>
        </w:rPr>
        <w:t xml:space="preserve">2021 China Top 15 Lawyers (Asset Management) (LEGALBAND) </w:t>
      </w:r>
    </w:p>
    <w:p w14:paraId="73AF8CFA" w14:textId="77777777" w:rsidR="000E56C8" w:rsidRDefault="000E56C8" w:rsidP="000E56C8">
      <w:pPr>
        <w:pStyle w:val="af5"/>
        <w:numPr>
          <w:ilvl w:val="0"/>
          <w:numId w:val="87"/>
        </w:numPr>
        <w:spacing w:before="120"/>
        <w:ind w:left="690" w:hanging="240"/>
        <w:rPr>
          <w:rFonts w:ascii="等线" w:eastAsia="等线" w:hAnsi="Times New Roman"/>
          <w:color w:val="000000"/>
        </w:rPr>
      </w:pPr>
      <w:r w:rsidRPr="000E56C8">
        <w:rPr>
          <w:rFonts w:ascii="等线" w:eastAsia="等线" w:hAnsi="Times New Roman"/>
          <w:color w:val="000000"/>
        </w:rPr>
        <w:t xml:space="preserve">Special report of China Business Law Journal on 16 March 2021 </w:t>
      </w:r>
    </w:p>
    <w:p w14:paraId="53DB3FDE" w14:textId="77777777" w:rsidR="000E56C8" w:rsidRDefault="000E56C8" w:rsidP="000E56C8">
      <w:pPr>
        <w:pStyle w:val="af5"/>
        <w:numPr>
          <w:ilvl w:val="0"/>
          <w:numId w:val="88"/>
        </w:numPr>
        <w:spacing w:before="120"/>
        <w:ind w:left="690" w:hanging="240"/>
        <w:rPr>
          <w:rFonts w:ascii="等线" w:eastAsia="等线" w:hAnsi="Times New Roman"/>
          <w:color w:val="000000"/>
        </w:rPr>
      </w:pPr>
      <w:r w:rsidRPr="000E56C8">
        <w:rPr>
          <w:rFonts w:ascii="等线" w:eastAsia="等线" w:hAnsi="Times New Roman"/>
          <w:color w:val="000000"/>
        </w:rPr>
        <w:t xml:space="preserve">2022/2023/2024 Deal Maker of the Year Award (FINANCIAL MONTHLY) </w:t>
      </w:r>
    </w:p>
    <w:p w14:paraId="78971ABC" w14:textId="77777777" w:rsidR="000E56C8" w:rsidRDefault="000E56C8" w:rsidP="000E56C8">
      <w:pPr>
        <w:pStyle w:val="af5"/>
        <w:numPr>
          <w:ilvl w:val="0"/>
          <w:numId w:val="89"/>
        </w:numPr>
        <w:spacing w:before="120"/>
        <w:ind w:left="690" w:hanging="240"/>
        <w:rPr>
          <w:rFonts w:ascii="等线" w:eastAsia="等线" w:hAnsi="Times New Roman"/>
          <w:color w:val="000000"/>
        </w:rPr>
      </w:pPr>
      <w:r w:rsidRPr="000E56C8">
        <w:rPr>
          <w:rFonts w:ascii="等线" w:eastAsia="等线" w:hAnsi="Times New Roman"/>
          <w:color w:val="000000"/>
        </w:rPr>
        <w:t xml:space="preserve">2023/2024 Digital Business Law Firm of the Year (Corporate LiveWire Global Awards) </w:t>
      </w:r>
    </w:p>
    <w:p w14:paraId="3B95D572" w14:textId="77777777" w:rsidR="000E56C8" w:rsidRDefault="000E56C8" w:rsidP="000E56C8">
      <w:pPr>
        <w:pStyle w:val="af5"/>
        <w:numPr>
          <w:ilvl w:val="0"/>
          <w:numId w:val="90"/>
        </w:numPr>
        <w:spacing w:before="120"/>
        <w:ind w:left="690" w:hanging="240"/>
        <w:rPr>
          <w:rFonts w:ascii="等线" w:eastAsia="等线" w:hAnsi="Times New Roman"/>
          <w:color w:val="000000"/>
        </w:rPr>
      </w:pPr>
      <w:r w:rsidRPr="000E56C8">
        <w:rPr>
          <w:rFonts w:ascii="等线" w:eastAsia="等线" w:hAnsi="Times New Roman"/>
          <w:color w:val="000000"/>
        </w:rPr>
        <w:t xml:space="preserve">2024 Regulatory Lawyer of the Year in China (Corporate INTL Magazine Global Award) </w:t>
      </w:r>
    </w:p>
    <w:p w14:paraId="296BD7B9" w14:textId="77777777" w:rsidR="000E56C8" w:rsidRDefault="000E56C8" w:rsidP="000E56C8">
      <w:pPr>
        <w:pStyle w:val="af5"/>
        <w:numPr>
          <w:ilvl w:val="0"/>
          <w:numId w:val="91"/>
        </w:numPr>
        <w:spacing w:before="120"/>
        <w:ind w:left="690" w:hanging="240"/>
        <w:rPr>
          <w:rFonts w:ascii="等线" w:eastAsia="等线" w:hAnsi="Times New Roman"/>
          <w:color w:val="000000"/>
        </w:rPr>
      </w:pPr>
      <w:r w:rsidRPr="000E56C8">
        <w:rPr>
          <w:rFonts w:ascii="等线" w:eastAsia="等线" w:hAnsi="Times New Roman"/>
          <w:color w:val="000000"/>
        </w:rPr>
        <w:t xml:space="preserve">2024 Compliance Lawyer of the Year in China (Corporate INTL Magazine Global Award) </w:t>
      </w:r>
    </w:p>
    <w:p w14:paraId="259AAC14" w14:textId="77777777" w:rsidR="000E56C8" w:rsidRDefault="000E56C8" w:rsidP="000E56C8">
      <w:pPr>
        <w:pStyle w:val="af5"/>
        <w:numPr>
          <w:ilvl w:val="0"/>
          <w:numId w:val="92"/>
        </w:numPr>
        <w:spacing w:before="120"/>
        <w:ind w:left="690" w:hanging="240"/>
        <w:rPr>
          <w:rFonts w:ascii="等线" w:eastAsia="等线" w:hAnsi="Times New Roman"/>
          <w:color w:val="000000"/>
        </w:rPr>
      </w:pPr>
      <w:r w:rsidRPr="000E56C8">
        <w:rPr>
          <w:rFonts w:ascii="等线" w:eastAsia="等线" w:hAnsi="Times New Roman"/>
          <w:color w:val="000000"/>
        </w:rPr>
        <w:t xml:space="preserve">2024 Asset Management Lawyer of the Year in China (Corporate INTL Magazine Global Award) </w:t>
      </w:r>
    </w:p>
    <w:p w14:paraId="721D9303" w14:textId="77777777" w:rsidR="000E56C8" w:rsidRDefault="000E56C8" w:rsidP="000E56C8">
      <w:pPr>
        <w:pStyle w:val="af5"/>
        <w:numPr>
          <w:ilvl w:val="0"/>
          <w:numId w:val="93"/>
        </w:numPr>
        <w:spacing w:before="120"/>
        <w:ind w:left="690" w:hanging="240"/>
        <w:rPr>
          <w:rFonts w:ascii="等线" w:eastAsia="等线" w:hAnsi="Times New Roman"/>
          <w:color w:val="000000"/>
        </w:rPr>
      </w:pPr>
      <w:r w:rsidRPr="000E56C8">
        <w:rPr>
          <w:rFonts w:ascii="等线" w:eastAsia="等线" w:hAnsi="Times New Roman"/>
          <w:color w:val="000000"/>
        </w:rPr>
        <w:t xml:space="preserve">The Legal 500 2024 China Key Lawyer (FINTECH/Insurance) </w:t>
      </w:r>
    </w:p>
    <w:p w14:paraId="3A65DA68" w14:textId="77777777" w:rsidR="000E56C8" w:rsidRDefault="000E56C8" w:rsidP="000E56C8">
      <w:pPr>
        <w:pStyle w:val="af5"/>
        <w:numPr>
          <w:ilvl w:val="0"/>
          <w:numId w:val="94"/>
        </w:numPr>
        <w:spacing w:before="120"/>
        <w:ind w:left="690" w:hanging="240"/>
        <w:rPr>
          <w:rFonts w:ascii="等线" w:eastAsia="等线" w:hAnsi="Times New Roman"/>
          <w:color w:val="000000"/>
        </w:rPr>
      </w:pPr>
      <w:r w:rsidRPr="000E56C8">
        <w:rPr>
          <w:rFonts w:ascii="等线" w:eastAsia="等线" w:hAnsi="Times New Roman"/>
          <w:color w:val="000000"/>
        </w:rPr>
        <w:t xml:space="preserve">2024 Regulatory Lawyer of the Year in China (Global Law Experts Annual Award) </w:t>
      </w:r>
    </w:p>
    <w:p w14:paraId="63D4DEA8" w14:textId="77777777" w:rsidR="000E56C8" w:rsidRDefault="000E56C8" w:rsidP="000E56C8">
      <w:pPr>
        <w:pStyle w:val="af5"/>
        <w:numPr>
          <w:ilvl w:val="0"/>
          <w:numId w:val="95"/>
        </w:numPr>
        <w:spacing w:before="120"/>
        <w:ind w:left="690" w:hanging="240"/>
        <w:rPr>
          <w:rFonts w:ascii="等线" w:eastAsia="等线" w:hAnsi="Times New Roman"/>
          <w:color w:val="000000"/>
        </w:rPr>
      </w:pPr>
      <w:r w:rsidRPr="000E56C8">
        <w:rPr>
          <w:rFonts w:ascii="等线" w:eastAsia="等线" w:hAnsi="Times New Roman"/>
          <w:color w:val="000000"/>
        </w:rPr>
        <w:t xml:space="preserve">2024 Compliance Lawyer of the Year in China (Global Law Experts Annual Award) </w:t>
      </w:r>
    </w:p>
    <w:p w14:paraId="5567FC3C" w14:textId="4E6299B4" w:rsidR="00686369" w:rsidRPr="000E56C8" w:rsidRDefault="000E56C8" w:rsidP="000E56C8">
      <w:pPr>
        <w:pStyle w:val="af5"/>
        <w:numPr>
          <w:ilvl w:val="0"/>
          <w:numId w:val="96"/>
        </w:numPr>
        <w:spacing w:before="120"/>
        <w:ind w:left="690" w:hanging="240"/>
        <w:rPr>
          <w:rFonts w:ascii="等线" w:eastAsia="等线" w:hAnsi="Times New Roman"/>
          <w:color w:val="000000"/>
        </w:rPr>
      </w:pPr>
      <w:r w:rsidRPr="000E56C8">
        <w:rPr>
          <w:rFonts w:ascii="等线" w:eastAsia="等线" w:hAnsi="Times New Roman"/>
          <w:color w:val="000000"/>
        </w:rPr>
        <w:t xml:space="preserve">2024 Asset Management Lawyer of the Year in China ((Global Law Experts Annual Award) </w:t>
      </w:r>
    </w:p>
    <w:sectPr w:rsidR="00686369" w:rsidRPr="000E56C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C50"/>
    <w:multiLevelType w:val="singleLevel"/>
    <w:tmpl w:val="AB2C57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202E37"/>
    <w:multiLevelType w:val="singleLevel"/>
    <w:tmpl w:val="6F5CBA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6D3D71"/>
    <w:multiLevelType w:val="singleLevel"/>
    <w:tmpl w:val="F13415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D97F80"/>
    <w:multiLevelType w:val="singleLevel"/>
    <w:tmpl w:val="EEB075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CB6F0E"/>
    <w:multiLevelType w:val="singleLevel"/>
    <w:tmpl w:val="182A7B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E843C0"/>
    <w:multiLevelType w:val="singleLevel"/>
    <w:tmpl w:val="5AE437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AA68A2"/>
    <w:multiLevelType w:val="singleLevel"/>
    <w:tmpl w:val="ED0C69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38170E"/>
    <w:multiLevelType w:val="singleLevel"/>
    <w:tmpl w:val="717AC4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76E346C"/>
    <w:multiLevelType w:val="singleLevel"/>
    <w:tmpl w:val="AEFC75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7F90519"/>
    <w:multiLevelType w:val="singleLevel"/>
    <w:tmpl w:val="A0FA0E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96879D6"/>
    <w:multiLevelType w:val="singleLevel"/>
    <w:tmpl w:val="AAE83B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AB62965"/>
    <w:multiLevelType w:val="singleLevel"/>
    <w:tmpl w:val="CFD6FB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D7F6C8E"/>
    <w:multiLevelType w:val="singleLevel"/>
    <w:tmpl w:val="933E54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F7C3A91"/>
    <w:multiLevelType w:val="singleLevel"/>
    <w:tmpl w:val="8286B0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FEA31EE"/>
    <w:multiLevelType w:val="singleLevel"/>
    <w:tmpl w:val="D43ED1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127460A"/>
    <w:multiLevelType w:val="singleLevel"/>
    <w:tmpl w:val="8AC40B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577340"/>
    <w:multiLevelType w:val="singleLevel"/>
    <w:tmpl w:val="AD3672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9783C71"/>
    <w:multiLevelType w:val="singleLevel"/>
    <w:tmpl w:val="2E5027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9CE322E"/>
    <w:multiLevelType w:val="singleLevel"/>
    <w:tmpl w:val="CC7E77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9FB5812"/>
    <w:multiLevelType w:val="singleLevel"/>
    <w:tmpl w:val="0768A1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A4450F3"/>
    <w:multiLevelType w:val="singleLevel"/>
    <w:tmpl w:val="25D6CE9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4307DE"/>
    <w:multiLevelType w:val="singleLevel"/>
    <w:tmpl w:val="E500B9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26066AC"/>
    <w:multiLevelType w:val="singleLevel"/>
    <w:tmpl w:val="391E85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2E864C9"/>
    <w:multiLevelType w:val="singleLevel"/>
    <w:tmpl w:val="B6183F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3192B28"/>
    <w:multiLevelType w:val="singleLevel"/>
    <w:tmpl w:val="B36A8C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49C3551"/>
    <w:multiLevelType w:val="singleLevel"/>
    <w:tmpl w:val="3DF2FC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6FA7B2D"/>
    <w:multiLevelType w:val="singleLevel"/>
    <w:tmpl w:val="F716D0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88E7C8E"/>
    <w:multiLevelType w:val="singleLevel"/>
    <w:tmpl w:val="6966EB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BEB03EB"/>
    <w:multiLevelType w:val="singleLevel"/>
    <w:tmpl w:val="544449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C516BA1"/>
    <w:multiLevelType w:val="singleLevel"/>
    <w:tmpl w:val="B97A25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D2655DB"/>
    <w:multiLevelType w:val="singleLevel"/>
    <w:tmpl w:val="4CBE687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D4C01F2"/>
    <w:multiLevelType w:val="singleLevel"/>
    <w:tmpl w:val="A2A64C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F840920"/>
    <w:multiLevelType w:val="singleLevel"/>
    <w:tmpl w:val="500C72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1710618"/>
    <w:multiLevelType w:val="singleLevel"/>
    <w:tmpl w:val="BF9C7BF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1891C02"/>
    <w:multiLevelType w:val="singleLevel"/>
    <w:tmpl w:val="A3C431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2F77CC8"/>
    <w:multiLevelType w:val="singleLevel"/>
    <w:tmpl w:val="A0AEBCE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4AA141C"/>
    <w:multiLevelType w:val="singleLevel"/>
    <w:tmpl w:val="F93884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4B1179C"/>
    <w:multiLevelType w:val="singleLevel"/>
    <w:tmpl w:val="640EF1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76D7D1C"/>
    <w:multiLevelType w:val="singleLevel"/>
    <w:tmpl w:val="F0E2D4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77540FB"/>
    <w:multiLevelType w:val="singleLevel"/>
    <w:tmpl w:val="0D70FFD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F6E1FD5"/>
    <w:multiLevelType w:val="singleLevel"/>
    <w:tmpl w:val="7456635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3D20391"/>
    <w:multiLevelType w:val="singleLevel"/>
    <w:tmpl w:val="13F87B7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579654B"/>
    <w:multiLevelType w:val="singleLevel"/>
    <w:tmpl w:val="FFFCEBF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5B45333"/>
    <w:multiLevelType w:val="singleLevel"/>
    <w:tmpl w:val="1A20969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8D56413"/>
    <w:multiLevelType w:val="singleLevel"/>
    <w:tmpl w:val="DCBA79A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97C6036"/>
    <w:multiLevelType w:val="singleLevel"/>
    <w:tmpl w:val="B9DA791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9922271"/>
    <w:multiLevelType w:val="singleLevel"/>
    <w:tmpl w:val="5DDAD95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ADA6229"/>
    <w:multiLevelType w:val="singleLevel"/>
    <w:tmpl w:val="C2C6DB8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AED393E"/>
    <w:multiLevelType w:val="singleLevel"/>
    <w:tmpl w:val="EB7233E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BD8733E"/>
    <w:multiLevelType w:val="singleLevel"/>
    <w:tmpl w:val="5D6C5C3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BFF478E"/>
    <w:multiLevelType w:val="singleLevel"/>
    <w:tmpl w:val="73FADE3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D684EBA"/>
    <w:multiLevelType w:val="singleLevel"/>
    <w:tmpl w:val="CF487E1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DF27E92"/>
    <w:multiLevelType w:val="singleLevel"/>
    <w:tmpl w:val="AF2C9E0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FFB1912"/>
    <w:multiLevelType w:val="singleLevel"/>
    <w:tmpl w:val="D59C7B4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0785BC3"/>
    <w:multiLevelType w:val="singleLevel"/>
    <w:tmpl w:val="2F62280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32F02F8"/>
    <w:multiLevelType w:val="singleLevel"/>
    <w:tmpl w:val="A6D4850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4EE01A4"/>
    <w:multiLevelType w:val="singleLevel"/>
    <w:tmpl w:val="591014D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6525C76"/>
    <w:multiLevelType w:val="singleLevel"/>
    <w:tmpl w:val="8A80BC2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69C5841"/>
    <w:multiLevelType w:val="singleLevel"/>
    <w:tmpl w:val="5C7EA15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7941B46"/>
    <w:multiLevelType w:val="singleLevel"/>
    <w:tmpl w:val="0942807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C601D7B"/>
    <w:multiLevelType w:val="singleLevel"/>
    <w:tmpl w:val="C8C824E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D1C584D"/>
    <w:multiLevelType w:val="singleLevel"/>
    <w:tmpl w:val="5648683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EB2289B"/>
    <w:multiLevelType w:val="singleLevel"/>
    <w:tmpl w:val="34CC079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ED27760"/>
    <w:multiLevelType w:val="singleLevel"/>
    <w:tmpl w:val="342A9AC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F6C0A5B"/>
    <w:multiLevelType w:val="singleLevel"/>
    <w:tmpl w:val="A9D284AE"/>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F800E89"/>
    <w:multiLevelType w:val="singleLevel"/>
    <w:tmpl w:val="5882EA2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0D64A4C"/>
    <w:multiLevelType w:val="singleLevel"/>
    <w:tmpl w:val="94DA1AA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17763B6"/>
    <w:multiLevelType w:val="singleLevel"/>
    <w:tmpl w:val="8746FB1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19F5614"/>
    <w:multiLevelType w:val="singleLevel"/>
    <w:tmpl w:val="D610DB7C"/>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1EA0C6E"/>
    <w:multiLevelType w:val="singleLevel"/>
    <w:tmpl w:val="E5D81B0E"/>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28B3C0C"/>
    <w:multiLevelType w:val="singleLevel"/>
    <w:tmpl w:val="9B4668FC"/>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8612D11"/>
    <w:multiLevelType w:val="singleLevel"/>
    <w:tmpl w:val="B8A64472"/>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8B81D1D"/>
    <w:multiLevelType w:val="singleLevel"/>
    <w:tmpl w:val="0CE644C8"/>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C083250"/>
    <w:multiLevelType w:val="singleLevel"/>
    <w:tmpl w:val="D668F2C4"/>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FFC59D6"/>
    <w:multiLevelType w:val="singleLevel"/>
    <w:tmpl w:val="18C45C44"/>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0356E32"/>
    <w:multiLevelType w:val="singleLevel"/>
    <w:tmpl w:val="D19E313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1D13E24"/>
    <w:multiLevelType w:val="singleLevel"/>
    <w:tmpl w:val="6F1AA612"/>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27A7E74"/>
    <w:multiLevelType w:val="singleLevel"/>
    <w:tmpl w:val="D17C2E78"/>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3461DD4"/>
    <w:multiLevelType w:val="singleLevel"/>
    <w:tmpl w:val="480EC46C"/>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3C8080F"/>
    <w:multiLevelType w:val="singleLevel"/>
    <w:tmpl w:val="CA7E00A8"/>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41C228A"/>
    <w:multiLevelType w:val="singleLevel"/>
    <w:tmpl w:val="8EDABC52"/>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5A92615"/>
    <w:multiLevelType w:val="singleLevel"/>
    <w:tmpl w:val="EF567CA4"/>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5E63E43"/>
    <w:multiLevelType w:val="singleLevel"/>
    <w:tmpl w:val="EC96FC5E"/>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6C668FA"/>
    <w:multiLevelType w:val="singleLevel"/>
    <w:tmpl w:val="1B62D6CA"/>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7DC7F2C"/>
    <w:multiLevelType w:val="singleLevel"/>
    <w:tmpl w:val="6F5CBAC0"/>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81B0704"/>
    <w:multiLevelType w:val="singleLevel"/>
    <w:tmpl w:val="70C4941E"/>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9B26BD4"/>
    <w:multiLevelType w:val="singleLevel"/>
    <w:tmpl w:val="AF4C982A"/>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9B61377"/>
    <w:multiLevelType w:val="singleLevel"/>
    <w:tmpl w:val="32B84500"/>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A6956A3"/>
    <w:multiLevelType w:val="singleLevel"/>
    <w:tmpl w:val="89BA3D44"/>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A985D12"/>
    <w:multiLevelType w:val="singleLevel"/>
    <w:tmpl w:val="29A4C9EA"/>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B1A5DB1"/>
    <w:multiLevelType w:val="singleLevel"/>
    <w:tmpl w:val="76A2B922"/>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B677DA8"/>
    <w:multiLevelType w:val="singleLevel"/>
    <w:tmpl w:val="A022CAAE"/>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BA702A2"/>
    <w:multiLevelType w:val="singleLevel"/>
    <w:tmpl w:val="49FE2604"/>
    <w:lvl w:ilvl="0">
      <w:start w:val="1"/>
      <w:numFmt w:val="bullet"/>
      <w:lvlText w:val=""/>
      <w:lvlJc w:val="left"/>
      <w:pPr>
        <w:tabs>
          <w:tab w:val="num" w:pos="200"/>
        </w:tabs>
        <w:ind w:left="200" w:hanging="200"/>
      </w:pPr>
      <w:rPr>
        <w:rFonts w:ascii="Wingdings" w:hAnsi="Wingdings" w:hint="default"/>
        <w:sz w:val="16"/>
      </w:rPr>
    </w:lvl>
  </w:abstractNum>
  <w:abstractNum w:abstractNumId="93" w15:restartNumberingAfterBreak="0">
    <w:nsid w:val="7BDA310C"/>
    <w:multiLevelType w:val="singleLevel"/>
    <w:tmpl w:val="79AC57B4"/>
    <w:lvl w:ilvl="0">
      <w:start w:val="1"/>
      <w:numFmt w:val="bullet"/>
      <w:lvlText w:val=""/>
      <w:lvlJc w:val="left"/>
      <w:pPr>
        <w:tabs>
          <w:tab w:val="num" w:pos="200"/>
        </w:tabs>
        <w:ind w:left="200" w:hanging="200"/>
      </w:pPr>
      <w:rPr>
        <w:rFonts w:ascii="Wingdings" w:hAnsi="Wingdings" w:hint="default"/>
        <w:sz w:val="16"/>
      </w:rPr>
    </w:lvl>
  </w:abstractNum>
  <w:abstractNum w:abstractNumId="94" w15:restartNumberingAfterBreak="0">
    <w:nsid w:val="7E002070"/>
    <w:multiLevelType w:val="singleLevel"/>
    <w:tmpl w:val="64DA62D8"/>
    <w:lvl w:ilvl="0">
      <w:start w:val="1"/>
      <w:numFmt w:val="bullet"/>
      <w:lvlText w:val=""/>
      <w:lvlJc w:val="left"/>
      <w:pPr>
        <w:tabs>
          <w:tab w:val="num" w:pos="200"/>
        </w:tabs>
        <w:ind w:left="200" w:hanging="200"/>
      </w:pPr>
      <w:rPr>
        <w:rFonts w:ascii="Wingdings" w:hAnsi="Wingdings" w:hint="default"/>
        <w:sz w:val="16"/>
      </w:rPr>
    </w:lvl>
  </w:abstractNum>
  <w:abstractNum w:abstractNumId="95" w15:restartNumberingAfterBreak="0">
    <w:nsid w:val="7E861BBC"/>
    <w:multiLevelType w:val="singleLevel"/>
    <w:tmpl w:val="6F348D50"/>
    <w:lvl w:ilvl="0">
      <w:start w:val="1"/>
      <w:numFmt w:val="bullet"/>
      <w:lvlText w:val=""/>
      <w:lvlJc w:val="left"/>
      <w:pPr>
        <w:tabs>
          <w:tab w:val="num" w:pos="200"/>
        </w:tabs>
        <w:ind w:left="200" w:hanging="200"/>
      </w:pPr>
      <w:rPr>
        <w:rFonts w:ascii="Wingdings" w:hAnsi="Wingdings" w:hint="default"/>
        <w:sz w:val="16"/>
      </w:rPr>
    </w:lvl>
  </w:abstractNum>
  <w:num w:numId="1">
    <w:abstractNumId w:val="73"/>
  </w:num>
  <w:num w:numId="2">
    <w:abstractNumId w:val="92"/>
  </w:num>
  <w:num w:numId="3">
    <w:abstractNumId w:val="56"/>
  </w:num>
  <w:num w:numId="4">
    <w:abstractNumId w:val="86"/>
  </w:num>
  <w:num w:numId="5">
    <w:abstractNumId w:val="16"/>
  </w:num>
  <w:num w:numId="6">
    <w:abstractNumId w:val="89"/>
  </w:num>
  <w:num w:numId="7">
    <w:abstractNumId w:val="54"/>
  </w:num>
  <w:num w:numId="8">
    <w:abstractNumId w:val="91"/>
  </w:num>
  <w:num w:numId="9">
    <w:abstractNumId w:val="14"/>
  </w:num>
  <w:num w:numId="10">
    <w:abstractNumId w:val="62"/>
  </w:num>
  <w:num w:numId="11">
    <w:abstractNumId w:val="23"/>
  </w:num>
  <w:num w:numId="12">
    <w:abstractNumId w:val="44"/>
  </w:num>
  <w:num w:numId="13">
    <w:abstractNumId w:val="80"/>
  </w:num>
  <w:num w:numId="14">
    <w:abstractNumId w:val="5"/>
  </w:num>
  <w:num w:numId="15">
    <w:abstractNumId w:val="66"/>
  </w:num>
  <w:num w:numId="16">
    <w:abstractNumId w:val="34"/>
  </w:num>
  <w:num w:numId="17">
    <w:abstractNumId w:val="8"/>
  </w:num>
  <w:num w:numId="18">
    <w:abstractNumId w:val="28"/>
  </w:num>
  <w:num w:numId="19">
    <w:abstractNumId w:val="74"/>
  </w:num>
  <w:num w:numId="20">
    <w:abstractNumId w:val="87"/>
  </w:num>
  <w:num w:numId="21">
    <w:abstractNumId w:val="48"/>
  </w:num>
  <w:num w:numId="22">
    <w:abstractNumId w:val="40"/>
  </w:num>
  <w:num w:numId="23">
    <w:abstractNumId w:val="75"/>
  </w:num>
  <w:num w:numId="24">
    <w:abstractNumId w:val="90"/>
  </w:num>
  <w:num w:numId="25">
    <w:abstractNumId w:val="94"/>
  </w:num>
  <w:num w:numId="26">
    <w:abstractNumId w:val="42"/>
  </w:num>
  <w:num w:numId="27">
    <w:abstractNumId w:val="70"/>
  </w:num>
  <w:num w:numId="28">
    <w:abstractNumId w:val="79"/>
  </w:num>
  <w:num w:numId="29">
    <w:abstractNumId w:val="37"/>
  </w:num>
  <w:num w:numId="30">
    <w:abstractNumId w:val="60"/>
  </w:num>
  <w:num w:numId="31">
    <w:abstractNumId w:val="45"/>
  </w:num>
  <w:num w:numId="32">
    <w:abstractNumId w:val="18"/>
  </w:num>
  <w:num w:numId="33">
    <w:abstractNumId w:val="88"/>
  </w:num>
  <w:num w:numId="34">
    <w:abstractNumId w:val="61"/>
  </w:num>
  <w:num w:numId="35">
    <w:abstractNumId w:val="31"/>
  </w:num>
  <w:num w:numId="36">
    <w:abstractNumId w:val="69"/>
  </w:num>
  <w:num w:numId="37">
    <w:abstractNumId w:val="19"/>
  </w:num>
  <w:num w:numId="38">
    <w:abstractNumId w:val="57"/>
  </w:num>
  <w:num w:numId="39">
    <w:abstractNumId w:val="13"/>
  </w:num>
  <w:num w:numId="40">
    <w:abstractNumId w:val="27"/>
  </w:num>
  <w:num w:numId="41">
    <w:abstractNumId w:val="22"/>
  </w:num>
  <w:num w:numId="42">
    <w:abstractNumId w:val="29"/>
  </w:num>
  <w:num w:numId="43">
    <w:abstractNumId w:val="81"/>
  </w:num>
  <w:num w:numId="44">
    <w:abstractNumId w:val="10"/>
  </w:num>
  <w:num w:numId="45">
    <w:abstractNumId w:val="12"/>
  </w:num>
  <w:num w:numId="46">
    <w:abstractNumId w:val="85"/>
  </w:num>
  <w:num w:numId="47">
    <w:abstractNumId w:val="68"/>
  </w:num>
  <w:num w:numId="48">
    <w:abstractNumId w:val="63"/>
  </w:num>
  <w:num w:numId="49">
    <w:abstractNumId w:val="47"/>
  </w:num>
  <w:num w:numId="50">
    <w:abstractNumId w:val="25"/>
  </w:num>
  <w:num w:numId="51">
    <w:abstractNumId w:val="20"/>
  </w:num>
  <w:num w:numId="52">
    <w:abstractNumId w:val="78"/>
  </w:num>
  <w:num w:numId="53">
    <w:abstractNumId w:val="0"/>
  </w:num>
  <w:num w:numId="54">
    <w:abstractNumId w:val="43"/>
  </w:num>
  <w:num w:numId="55">
    <w:abstractNumId w:val="59"/>
  </w:num>
  <w:num w:numId="56">
    <w:abstractNumId w:val="36"/>
  </w:num>
  <w:num w:numId="57">
    <w:abstractNumId w:val="71"/>
  </w:num>
  <w:num w:numId="58">
    <w:abstractNumId w:val="26"/>
  </w:num>
  <w:num w:numId="59">
    <w:abstractNumId w:val="83"/>
  </w:num>
  <w:num w:numId="60">
    <w:abstractNumId w:val="52"/>
  </w:num>
  <w:num w:numId="61">
    <w:abstractNumId w:val="55"/>
  </w:num>
  <w:num w:numId="62">
    <w:abstractNumId w:val="76"/>
  </w:num>
  <w:num w:numId="63">
    <w:abstractNumId w:val="49"/>
  </w:num>
  <w:num w:numId="64">
    <w:abstractNumId w:val="11"/>
  </w:num>
  <w:num w:numId="65">
    <w:abstractNumId w:val="50"/>
  </w:num>
  <w:num w:numId="66">
    <w:abstractNumId w:val="67"/>
  </w:num>
  <w:num w:numId="67">
    <w:abstractNumId w:val="7"/>
  </w:num>
  <w:num w:numId="68">
    <w:abstractNumId w:val="33"/>
  </w:num>
  <w:num w:numId="69">
    <w:abstractNumId w:val="3"/>
  </w:num>
  <w:num w:numId="70">
    <w:abstractNumId w:val="58"/>
  </w:num>
  <w:num w:numId="71">
    <w:abstractNumId w:val="15"/>
  </w:num>
  <w:num w:numId="72">
    <w:abstractNumId w:val="51"/>
  </w:num>
  <w:num w:numId="73">
    <w:abstractNumId w:val="39"/>
  </w:num>
  <w:num w:numId="74">
    <w:abstractNumId w:val="65"/>
  </w:num>
  <w:num w:numId="75">
    <w:abstractNumId w:val="82"/>
  </w:num>
  <w:num w:numId="76">
    <w:abstractNumId w:val="21"/>
  </w:num>
  <w:num w:numId="77">
    <w:abstractNumId w:val="35"/>
  </w:num>
  <w:num w:numId="78">
    <w:abstractNumId w:val="77"/>
  </w:num>
  <w:num w:numId="79">
    <w:abstractNumId w:val="4"/>
  </w:num>
  <w:num w:numId="80">
    <w:abstractNumId w:val="32"/>
  </w:num>
  <w:num w:numId="81">
    <w:abstractNumId w:val="17"/>
  </w:num>
  <w:num w:numId="82">
    <w:abstractNumId w:val="46"/>
  </w:num>
  <w:num w:numId="83">
    <w:abstractNumId w:val="9"/>
  </w:num>
  <w:num w:numId="84">
    <w:abstractNumId w:val="72"/>
  </w:num>
  <w:num w:numId="85">
    <w:abstractNumId w:val="93"/>
  </w:num>
  <w:num w:numId="86">
    <w:abstractNumId w:val="95"/>
  </w:num>
  <w:num w:numId="87">
    <w:abstractNumId w:val="53"/>
  </w:num>
  <w:num w:numId="88">
    <w:abstractNumId w:val="64"/>
  </w:num>
  <w:num w:numId="89">
    <w:abstractNumId w:val="41"/>
  </w:num>
  <w:num w:numId="90">
    <w:abstractNumId w:val="30"/>
  </w:num>
  <w:num w:numId="91">
    <w:abstractNumId w:val="24"/>
  </w:num>
  <w:num w:numId="92">
    <w:abstractNumId w:val="6"/>
  </w:num>
  <w:num w:numId="93">
    <w:abstractNumId w:val="38"/>
  </w:num>
  <w:num w:numId="94">
    <w:abstractNumId w:val="2"/>
  </w:num>
  <w:num w:numId="95">
    <w:abstractNumId w:val="1"/>
  </w:num>
  <w:num w:numId="96">
    <w:abstractNumId w:val="8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0E56C8"/>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E56C8"/>
    <w:pPr>
      <w:spacing w:after="120"/>
    </w:pPr>
  </w:style>
  <w:style w:type="character" w:customStyle="1" w:styleId="af6">
    <w:name w:val="正文文本 字符"/>
    <w:basedOn w:val="a0"/>
    <w:link w:val="af5"/>
    <w:uiPriority w:val="99"/>
    <w:rsid w:val="000E56C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FCEE6-6EB8-4DF4-949E-11B007AB3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1720</Words>
  <Characters>9804</Characters>
  <Application>Microsoft Office Word</Application>
  <DocSecurity>0</DocSecurity>
  <Lines>81</Lines>
  <Paragraphs>23</Paragraphs>
  <ScaleCrop>false</ScaleCrop>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2026-07-16T11:59:00Z</dcterms:created>
  <dcterms:modified xsi:type="dcterms:W3CDTF">2026-07-16T11:59:00Z</dcterms:modified>
</cp:coreProperties>
</file>