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159D81" w:rsidR="0049405C" w:rsidRPr="00C24D79" w:rsidRDefault="00EF0458" w:rsidP="00EF0458">
            <w:pPr>
              <w:spacing w:line="720" w:lineRule="auto"/>
              <w:rPr>
                <w:rFonts w:eastAsiaTheme="minorHAnsi"/>
                <w:color w:val="545551"/>
              </w:rPr>
            </w:pPr>
            <w:bookmarkStart w:id="0" w:name="xingming"/>
            <w:bookmarkStart w:id="1" w:name="_GoBack"/>
            <w:bookmarkEnd w:id="1"/>
            <w:r w:rsidRPr="00EF0458">
              <w:rPr>
                <w:rFonts w:ascii="等线" w:eastAsia="等线" w:hAnsi="Times New Roman"/>
                <w:b/>
                <w:color w:val="000000"/>
                <w:sz w:val="48"/>
              </w:rPr>
              <w:t>LILY YAN</w:t>
            </w:r>
            <w:bookmarkEnd w:id="0"/>
          </w:p>
          <w:p w14:paraId="706EB16B" w14:textId="46482D36" w:rsidR="0049405C" w:rsidRPr="00C24D79" w:rsidRDefault="00EF0458" w:rsidP="00EF0458">
            <w:pPr>
              <w:spacing w:line="360" w:lineRule="auto"/>
              <w:rPr>
                <w:rFonts w:eastAsiaTheme="minorHAnsi"/>
                <w:b/>
                <w:bCs/>
                <w:color w:val="545551"/>
              </w:rPr>
            </w:pPr>
            <w:bookmarkStart w:id="2" w:name="didian"/>
            <w:r w:rsidRPr="00EF0458">
              <w:rPr>
                <w:rFonts w:ascii="等线" w:eastAsia="等线" w:hAnsi="Times New Roman"/>
                <w:b/>
                <w:bCs/>
                <w:color w:val="000000"/>
              </w:rPr>
              <w:t>Partner</w:t>
            </w:r>
            <w:r w:rsidRPr="00EF0458">
              <w:rPr>
                <w:rFonts w:ascii="等线" w:eastAsia="等线" w:hAnsi="Times New Roman"/>
                <w:b/>
                <w:bCs/>
                <w:color w:val="000000"/>
              </w:rPr>
              <w:t>·</w:t>
            </w:r>
            <w:r w:rsidRPr="00EF0458">
              <w:rPr>
                <w:rFonts w:ascii="等线" w:eastAsia="等线" w:hAnsi="Times New Roman"/>
                <w:b/>
                <w:bCs/>
                <w:color w:val="000000"/>
              </w:rPr>
              <w:t>Shanghai</w:t>
            </w:r>
            <w:bookmarkEnd w:id="2"/>
          </w:p>
          <w:p w14:paraId="6199424A" w14:textId="59FB582B" w:rsidR="0049405C" w:rsidRPr="00C24D79" w:rsidRDefault="00EF0458" w:rsidP="00EF0458">
            <w:pPr>
              <w:spacing w:line="360" w:lineRule="auto"/>
              <w:rPr>
                <w:rFonts w:eastAsiaTheme="minorHAnsi"/>
                <w:color w:val="545551"/>
              </w:rPr>
            </w:pPr>
            <w:bookmarkStart w:id="3" w:name="dianhua"/>
            <w:r w:rsidRPr="00EF0458">
              <w:rPr>
                <w:rFonts w:ascii="等线" w:eastAsia="等线" w:hAnsi="Times New Roman"/>
                <w:color w:val="000000"/>
              </w:rPr>
              <w:t xml:space="preserve">+86 21 2208 1143 </w:t>
            </w:r>
            <w:bookmarkEnd w:id="3"/>
          </w:p>
          <w:p w14:paraId="4F910ACA" w14:textId="1A724483" w:rsidR="0049405C" w:rsidRPr="00C24D79" w:rsidRDefault="00EF0458" w:rsidP="00EF0458">
            <w:pPr>
              <w:spacing w:line="360" w:lineRule="auto"/>
              <w:rPr>
                <w:rFonts w:eastAsiaTheme="minorHAnsi"/>
                <w:color w:val="000000"/>
              </w:rPr>
            </w:pPr>
            <w:bookmarkStart w:id="4" w:name="youxiang"/>
            <w:r w:rsidRPr="00EF0458">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8B1FBE" w:rsidR="0049405C" w:rsidRPr="00C24D79" w:rsidRDefault="00EF045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4DA333" wp14:editId="00D4D8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BB15BB" w:rsidR="009465FB" w:rsidRPr="00C24D79" w:rsidRDefault="00EF0458" w:rsidP="007177F3">
            <w:pPr>
              <w:rPr>
                <w:rFonts w:eastAsiaTheme="minorHAnsi"/>
                <w:color w:val="000000"/>
                <w:szCs w:val="21"/>
              </w:rPr>
            </w:pPr>
            <w:bookmarkStart w:id="6" w:name="zhiyelingyu"/>
            <w:r w:rsidRPr="00EF0458">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5D91C1" w14:textId="77777777" w:rsidR="00EF045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506CF0"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REPRESENTATIVE MATTERS AND CASES</w:t>
      </w:r>
    </w:p>
    <w:p w14:paraId="5A7D02B5" w14:textId="77777777" w:rsidR="00EF0458" w:rsidRDefault="00EF0458" w:rsidP="00EF0458">
      <w:pPr>
        <w:pStyle w:val="af5"/>
        <w:spacing w:before="120"/>
        <w:rPr>
          <w:rFonts w:ascii="等线" w:eastAsia="等线" w:hAnsi="Times New Roman"/>
          <w:color w:val="000000"/>
        </w:rPr>
      </w:pPr>
      <w:r w:rsidRPr="00EF0458">
        <w:rPr>
          <w:rFonts w:ascii="等线" w:eastAsia="等线" w:hAnsi="Times New Roman"/>
          <w:color w:val="000000"/>
        </w:rPr>
        <w:t>Institution Set-up and M&amp;A</w:t>
      </w:r>
    </w:p>
    <w:p w14:paraId="150B7CA4" w14:textId="77777777" w:rsidR="00EF0458" w:rsidRDefault="00EF0458" w:rsidP="00EF0458">
      <w:pPr>
        <w:pStyle w:val="af5"/>
        <w:numPr>
          <w:ilvl w:val="0"/>
          <w:numId w:val="4"/>
        </w:numPr>
        <w:spacing w:before="120"/>
        <w:ind w:left="690" w:hanging="240"/>
        <w:rPr>
          <w:rFonts w:ascii="等线" w:eastAsia="等线" w:hAnsi="Times New Roman"/>
          <w:color w:val="000000"/>
        </w:rPr>
      </w:pPr>
      <w:r w:rsidRPr="00EF0458">
        <w:rPr>
          <w:rFonts w:ascii="等线" w:eastAsia="等线" w:hAnsi="Times New Roman"/>
          <w:color w:val="000000"/>
        </w:rPr>
        <w:t>Advising Generali Group on the acquisition of the remaining 51% equity interest in its P&amp;C insurance joint venture with CNPC Capital in China</w:t>
      </w:r>
    </w:p>
    <w:p w14:paraId="6DB04408" w14:textId="77777777" w:rsidR="00EF0458" w:rsidRDefault="00EF0458" w:rsidP="00EF0458">
      <w:pPr>
        <w:pStyle w:val="af5"/>
        <w:numPr>
          <w:ilvl w:val="0"/>
          <w:numId w:val="5"/>
        </w:numPr>
        <w:spacing w:before="120"/>
        <w:ind w:left="690" w:hanging="240"/>
        <w:rPr>
          <w:rFonts w:ascii="等线" w:eastAsia="等线" w:hAnsi="Times New Roman"/>
          <w:color w:val="000000"/>
        </w:rPr>
      </w:pPr>
      <w:r w:rsidRPr="00EF0458">
        <w:rPr>
          <w:rFonts w:ascii="等线" w:eastAsia="等线" w:hAnsi="Times New Roman"/>
          <w:color w:val="000000"/>
        </w:rPr>
        <w:t>Advising CICC on its investment in and establishment of National Pension Insurance Company Ltd., which is the largest pension insurer in China in terms of capital</w:t>
      </w:r>
    </w:p>
    <w:p w14:paraId="6105E1DB" w14:textId="77777777" w:rsidR="00EF0458" w:rsidRDefault="00EF0458" w:rsidP="00EF0458">
      <w:pPr>
        <w:pStyle w:val="af5"/>
        <w:numPr>
          <w:ilvl w:val="0"/>
          <w:numId w:val="6"/>
        </w:numPr>
        <w:spacing w:before="120"/>
        <w:ind w:left="690" w:hanging="240"/>
        <w:rPr>
          <w:rFonts w:ascii="等线" w:eastAsia="等线" w:hAnsi="Times New Roman"/>
          <w:color w:val="000000"/>
        </w:rPr>
      </w:pPr>
      <w:r w:rsidRPr="00EF0458">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2B7C4550" w14:textId="77777777" w:rsidR="00EF0458" w:rsidRDefault="00EF0458" w:rsidP="00EF0458">
      <w:pPr>
        <w:pStyle w:val="af5"/>
        <w:numPr>
          <w:ilvl w:val="0"/>
          <w:numId w:val="7"/>
        </w:numPr>
        <w:spacing w:before="120"/>
        <w:ind w:left="690" w:hanging="240"/>
        <w:rPr>
          <w:rFonts w:ascii="等线" w:eastAsia="等线" w:hAnsi="Times New Roman"/>
          <w:color w:val="000000"/>
        </w:rPr>
      </w:pPr>
      <w:r w:rsidRPr="00EF0458">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0016B784" w14:textId="77777777" w:rsidR="00EF0458" w:rsidRDefault="00EF0458" w:rsidP="00EF0458">
      <w:pPr>
        <w:pStyle w:val="af5"/>
        <w:numPr>
          <w:ilvl w:val="0"/>
          <w:numId w:val="8"/>
        </w:numPr>
        <w:spacing w:before="120"/>
        <w:ind w:left="690" w:hanging="240"/>
        <w:rPr>
          <w:rFonts w:ascii="等线" w:eastAsia="等线" w:hAnsi="Times New Roman"/>
          <w:color w:val="000000"/>
        </w:rPr>
      </w:pPr>
      <w:r w:rsidRPr="00EF0458">
        <w:rPr>
          <w:rFonts w:ascii="等线" w:eastAsia="等线" w:hAnsi="Times New Roman"/>
          <w:color w:val="000000"/>
        </w:rPr>
        <w:t xml:space="preserve">Advising BlackRock on its establishment of BlackRock CCB Wealth Management Co., Ltd. with CCB Wealth Management Co., Ltd. and an affiliate of Temasek </w:t>
      </w:r>
      <w:r w:rsidRPr="00EF0458">
        <w:rPr>
          <w:rFonts w:ascii="等线" w:eastAsia="等线" w:hAnsi="Times New Roman"/>
          <w:color w:val="000000"/>
        </w:rPr>
        <w:t>–</w:t>
      </w:r>
      <w:r w:rsidRPr="00EF0458">
        <w:rPr>
          <w:rFonts w:ascii="等线" w:eastAsia="等线" w:hAnsi="Times New Roman"/>
          <w:color w:val="000000"/>
        </w:rPr>
        <w:t xml:space="preserve"> the joint venture became the first Sino-US wealth management company in China</w:t>
      </w:r>
    </w:p>
    <w:p w14:paraId="72DD8336" w14:textId="77777777" w:rsidR="00EF0458" w:rsidRDefault="00EF0458" w:rsidP="00EF0458">
      <w:pPr>
        <w:pStyle w:val="af5"/>
        <w:numPr>
          <w:ilvl w:val="0"/>
          <w:numId w:val="9"/>
        </w:numPr>
        <w:spacing w:before="120"/>
        <w:ind w:left="690" w:hanging="240"/>
        <w:rPr>
          <w:rFonts w:ascii="等线" w:eastAsia="等线" w:hAnsi="Times New Roman"/>
          <w:color w:val="000000"/>
        </w:rPr>
      </w:pPr>
      <w:r w:rsidRPr="00EF0458">
        <w:rPr>
          <w:rFonts w:ascii="等线" w:eastAsia="等线" w:hAnsi="Times New Roman"/>
          <w:color w:val="000000"/>
        </w:rPr>
        <w:t xml:space="preserve">Advising BlackRock on its establishment of a mutual fund manager in China </w:t>
      </w:r>
      <w:r w:rsidRPr="00EF0458">
        <w:rPr>
          <w:rFonts w:ascii="等线" w:eastAsia="等线" w:hAnsi="Times New Roman"/>
          <w:color w:val="000000"/>
        </w:rPr>
        <w:t>–</w:t>
      </w:r>
      <w:r w:rsidRPr="00EF0458">
        <w:rPr>
          <w:rFonts w:ascii="等线" w:eastAsia="等线" w:hAnsi="Times New Roman"/>
          <w:color w:val="000000"/>
        </w:rPr>
        <w:t xml:space="preserve"> the new company became the first wholly foreign-owned mutual fund manager in China</w:t>
      </w:r>
    </w:p>
    <w:p w14:paraId="7E34447B" w14:textId="77777777" w:rsidR="00EF0458" w:rsidRDefault="00EF0458" w:rsidP="00EF0458">
      <w:pPr>
        <w:pStyle w:val="af5"/>
        <w:numPr>
          <w:ilvl w:val="0"/>
          <w:numId w:val="10"/>
        </w:numPr>
        <w:spacing w:before="120"/>
        <w:ind w:left="690" w:hanging="240"/>
        <w:rPr>
          <w:rFonts w:ascii="等线" w:eastAsia="等线" w:hAnsi="Times New Roman"/>
          <w:color w:val="000000"/>
        </w:rPr>
      </w:pPr>
      <w:r w:rsidRPr="00EF0458">
        <w:rPr>
          <w:rFonts w:ascii="等线" w:eastAsia="等线" w:hAnsi="Times New Roman"/>
          <w:color w:val="000000"/>
        </w:rPr>
        <w:t>Advising Morgan Stanley on the capital increase in its Sino-foreign securities joint-venture in China</w:t>
      </w:r>
    </w:p>
    <w:p w14:paraId="6F47E5FA" w14:textId="77777777" w:rsidR="00EF0458" w:rsidRDefault="00EF0458" w:rsidP="00EF0458">
      <w:pPr>
        <w:pStyle w:val="af5"/>
        <w:numPr>
          <w:ilvl w:val="0"/>
          <w:numId w:val="11"/>
        </w:numPr>
        <w:spacing w:before="120"/>
        <w:ind w:left="690" w:hanging="240"/>
        <w:rPr>
          <w:rFonts w:ascii="等线" w:eastAsia="等线" w:hAnsi="Times New Roman"/>
          <w:color w:val="000000"/>
        </w:rPr>
      </w:pPr>
      <w:r w:rsidRPr="00EF0458">
        <w:rPr>
          <w:rFonts w:ascii="等线" w:eastAsia="等线" w:hAnsi="Times New Roman"/>
          <w:color w:val="000000"/>
        </w:rPr>
        <w:t>Advising British Petroleum on its multiple joint ventures with a private group in China</w:t>
      </w:r>
    </w:p>
    <w:p w14:paraId="2978E986" w14:textId="77777777" w:rsidR="00EF0458" w:rsidRDefault="00EF0458" w:rsidP="00EF0458">
      <w:pPr>
        <w:pStyle w:val="af5"/>
        <w:numPr>
          <w:ilvl w:val="0"/>
          <w:numId w:val="12"/>
        </w:numPr>
        <w:spacing w:before="120"/>
        <w:ind w:left="690" w:hanging="240"/>
        <w:rPr>
          <w:rFonts w:ascii="等线" w:eastAsia="等线" w:hAnsi="Times New Roman"/>
          <w:color w:val="000000"/>
        </w:rPr>
      </w:pPr>
      <w:r w:rsidRPr="00EF0458">
        <w:rPr>
          <w:rFonts w:ascii="等线" w:eastAsia="等线" w:hAnsi="Times New Roman"/>
          <w:color w:val="000000"/>
        </w:rPr>
        <w:t>Advising Solvay on its joint venture with Sinopec in China, operating business of specialty materials for oil and gas fields</w:t>
      </w:r>
    </w:p>
    <w:p w14:paraId="4A679294" w14:textId="77777777" w:rsidR="00EF0458" w:rsidRDefault="00EF0458" w:rsidP="00EF0458">
      <w:pPr>
        <w:pStyle w:val="af5"/>
        <w:spacing w:before="120"/>
        <w:rPr>
          <w:rFonts w:ascii="等线" w:eastAsia="等线" w:hAnsi="Times New Roman"/>
          <w:color w:val="000000"/>
        </w:rPr>
      </w:pPr>
      <w:r w:rsidRPr="00EF0458">
        <w:rPr>
          <w:rFonts w:ascii="等线" w:eastAsia="等线" w:hAnsi="Times New Roman"/>
          <w:color w:val="000000"/>
        </w:rPr>
        <w:t>Outbound Investment and Cooperation</w:t>
      </w:r>
    </w:p>
    <w:p w14:paraId="1DE1E7E7" w14:textId="77777777" w:rsidR="00EF0458" w:rsidRDefault="00EF0458" w:rsidP="00EF0458">
      <w:pPr>
        <w:pStyle w:val="af5"/>
        <w:numPr>
          <w:ilvl w:val="0"/>
          <w:numId w:val="13"/>
        </w:numPr>
        <w:spacing w:before="120"/>
        <w:ind w:left="690" w:hanging="240"/>
        <w:rPr>
          <w:rFonts w:ascii="等线" w:eastAsia="等线" w:hAnsi="Times New Roman"/>
          <w:color w:val="000000"/>
        </w:rPr>
      </w:pPr>
      <w:r w:rsidRPr="00EF0458">
        <w:rPr>
          <w:rFonts w:ascii="等线" w:eastAsia="等线" w:hAnsi="Times New Roman"/>
          <w:color w:val="000000"/>
        </w:rPr>
        <w:t>Advising a Fintech group on its international expansion of online financial business in various jurisdictions</w:t>
      </w:r>
    </w:p>
    <w:p w14:paraId="709F74F7" w14:textId="77777777" w:rsidR="00EF0458" w:rsidRDefault="00EF0458" w:rsidP="00EF0458">
      <w:pPr>
        <w:pStyle w:val="af5"/>
        <w:numPr>
          <w:ilvl w:val="0"/>
          <w:numId w:val="14"/>
        </w:numPr>
        <w:spacing w:before="120"/>
        <w:ind w:left="690" w:hanging="240"/>
        <w:rPr>
          <w:rFonts w:ascii="等线" w:eastAsia="等线" w:hAnsi="Times New Roman"/>
          <w:color w:val="000000"/>
        </w:rPr>
      </w:pPr>
      <w:r w:rsidRPr="00EF0458">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56F883E3" w14:textId="77777777" w:rsidR="00EF0458" w:rsidRDefault="00EF0458" w:rsidP="00EF0458">
      <w:pPr>
        <w:pStyle w:val="af5"/>
        <w:numPr>
          <w:ilvl w:val="0"/>
          <w:numId w:val="15"/>
        </w:numPr>
        <w:spacing w:before="120"/>
        <w:ind w:left="690" w:hanging="240"/>
        <w:rPr>
          <w:rFonts w:ascii="等线" w:eastAsia="等线" w:hAnsi="Times New Roman"/>
          <w:color w:val="000000"/>
        </w:rPr>
      </w:pPr>
      <w:r w:rsidRPr="00EF0458">
        <w:rPr>
          <w:rFonts w:ascii="等线" w:eastAsia="等线" w:hAnsi="Times New Roman"/>
          <w:color w:val="000000"/>
        </w:rPr>
        <w:t>Advising a central State-owned enterprise on its proposed acquisition of offshore wind turbine business overseas</w:t>
      </w:r>
    </w:p>
    <w:p w14:paraId="72648E95" w14:textId="77777777" w:rsidR="00EF0458" w:rsidRDefault="00EF0458" w:rsidP="00EF0458">
      <w:pPr>
        <w:pStyle w:val="af5"/>
        <w:spacing w:before="120"/>
        <w:rPr>
          <w:rFonts w:ascii="等线" w:eastAsia="等线" w:hAnsi="Times New Roman"/>
          <w:color w:val="000000"/>
        </w:rPr>
      </w:pPr>
      <w:r w:rsidRPr="00EF0458">
        <w:rPr>
          <w:rFonts w:ascii="等线" w:eastAsia="等线" w:hAnsi="Times New Roman"/>
          <w:color w:val="000000"/>
        </w:rPr>
        <w:t>Regulatory Service</w:t>
      </w:r>
    </w:p>
    <w:p w14:paraId="08ACFF21" w14:textId="77777777" w:rsidR="00EF0458" w:rsidRDefault="00EF0458" w:rsidP="00EF0458">
      <w:pPr>
        <w:pStyle w:val="af5"/>
        <w:numPr>
          <w:ilvl w:val="0"/>
          <w:numId w:val="16"/>
        </w:numPr>
        <w:spacing w:before="120"/>
        <w:ind w:left="690" w:hanging="240"/>
        <w:rPr>
          <w:rFonts w:ascii="等线" w:eastAsia="等线" w:hAnsi="Times New Roman"/>
          <w:color w:val="000000"/>
        </w:rPr>
      </w:pPr>
      <w:r w:rsidRPr="00EF0458">
        <w:rPr>
          <w:rFonts w:ascii="等线" w:eastAsia="等线" w:hAnsi="Times New Roman"/>
          <w:color w:val="000000"/>
        </w:rPr>
        <w:t>Assisting Insurance Association of China and multiple insurance institutions in the research and formulation of industrial guidelines, Q&amp;As and firm policies</w:t>
      </w:r>
    </w:p>
    <w:p w14:paraId="6FF70C79" w14:textId="77777777" w:rsidR="00EF0458" w:rsidRDefault="00EF0458" w:rsidP="00EF0458">
      <w:pPr>
        <w:pStyle w:val="af5"/>
        <w:numPr>
          <w:ilvl w:val="0"/>
          <w:numId w:val="17"/>
        </w:numPr>
        <w:spacing w:before="120"/>
        <w:ind w:left="690" w:hanging="240"/>
        <w:rPr>
          <w:rFonts w:ascii="等线" w:eastAsia="等线" w:hAnsi="Times New Roman"/>
          <w:color w:val="000000"/>
        </w:rPr>
      </w:pPr>
      <w:r w:rsidRPr="00EF0458">
        <w:rPr>
          <w:rFonts w:ascii="等线" w:eastAsia="等线" w:hAnsi="Times New Roman"/>
          <w:color w:val="000000"/>
        </w:rPr>
        <w:t>Assisting Shanghai Insurance Exchange in formulating and polishing the English version of rules and agreements for Shanghai</w:t>
      </w:r>
      <w:r w:rsidRPr="00EF0458">
        <w:rPr>
          <w:rFonts w:ascii="等线" w:eastAsia="等线" w:hAnsi="Times New Roman"/>
          <w:color w:val="000000"/>
        </w:rPr>
        <w:t>’</w:t>
      </w:r>
      <w:r w:rsidRPr="00EF0458">
        <w:rPr>
          <w:rFonts w:ascii="等线" w:eastAsia="等线" w:hAnsi="Times New Roman"/>
          <w:color w:val="000000"/>
        </w:rPr>
        <w:t xml:space="preserve">s </w:t>
      </w:r>
      <w:r w:rsidRPr="00EF0458">
        <w:rPr>
          <w:rFonts w:ascii="等线" w:eastAsia="等线" w:hAnsi="Times New Roman"/>
          <w:color w:val="000000"/>
        </w:rPr>
        <w:t>“</w:t>
      </w:r>
      <w:r w:rsidRPr="00EF0458">
        <w:rPr>
          <w:rFonts w:ascii="等线" w:eastAsia="等线" w:hAnsi="Times New Roman"/>
          <w:color w:val="000000"/>
        </w:rPr>
        <w:t>International Board</w:t>
      </w:r>
      <w:r w:rsidRPr="00EF0458">
        <w:rPr>
          <w:rFonts w:ascii="等线" w:eastAsia="等线" w:hAnsi="Times New Roman"/>
          <w:color w:val="000000"/>
        </w:rPr>
        <w:t>”</w:t>
      </w:r>
      <w:r w:rsidRPr="00EF0458">
        <w:rPr>
          <w:rFonts w:ascii="等线" w:eastAsia="等线" w:hAnsi="Times New Roman"/>
          <w:color w:val="000000"/>
        </w:rPr>
        <w:t xml:space="preserve"> for reinsurance trading</w:t>
      </w:r>
    </w:p>
    <w:p w14:paraId="74AD32EA" w14:textId="77777777" w:rsidR="00EF0458" w:rsidRDefault="00EF0458" w:rsidP="00EF0458">
      <w:pPr>
        <w:pStyle w:val="af5"/>
        <w:numPr>
          <w:ilvl w:val="0"/>
          <w:numId w:val="18"/>
        </w:numPr>
        <w:spacing w:before="120"/>
        <w:ind w:left="690" w:hanging="240"/>
        <w:rPr>
          <w:rFonts w:ascii="等线" w:eastAsia="等线" w:hAnsi="Times New Roman"/>
          <w:color w:val="000000"/>
        </w:rPr>
      </w:pPr>
      <w:r w:rsidRPr="00EF0458">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59A15894" w14:textId="77777777" w:rsidR="00EF0458" w:rsidRDefault="00EF0458" w:rsidP="00EF0458">
      <w:pPr>
        <w:pStyle w:val="af5"/>
        <w:numPr>
          <w:ilvl w:val="0"/>
          <w:numId w:val="19"/>
        </w:numPr>
        <w:spacing w:before="120"/>
        <w:ind w:left="690" w:hanging="240"/>
        <w:rPr>
          <w:rFonts w:ascii="等线" w:eastAsia="等线" w:hAnsi="Times New Roman"/>
          <w:color w:val="000000"/>
        </w:rPr>
      </w:pPr>
      <w:r w:rsidRPr="00EF0458">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50AAEF00" w14:textId="77777777" w:rsidR="00EF0458" w:rsidRDefault="00EF0458" w:rsidP="00EF0458">
      <w:pPr>
        <w:pStyle w:val="af5"/>
        <w:numPr>
          <w:ilvl w:val="0"/>
          <w:numId w:val="20"/>
        </w:numPr>
        <w:spacing w:before="120"/>
        <w:ind w:left="690" w:hanging="240"/>
        <w:rPr>
          <w:rFonts w:ascii="等线" w:eastAsia="等线" w:hAnsi="Times New Roman"/>
          <w:color w:val="000000"/>
        </w:rPr>
      </w:pPr>
      <w:r w:rsidRPr="00EF0458">
        <w:rPr>
          <w:rFonts w:ascii="等线" w:eastAsia="等线" w:hAnsi="Times New Roman"/>
          <w:color w:val="000000"/>
        </w:rPr>
        <w:t>Advising multiple leading institutions about online distribution of insurance products and insurance tech cooperation etc.</w:t>
      </w:r>
    </w:p>
    <w:p w14:paraId="6D10C726"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Education</w:t>
      </w:r>
    </w:p>
    <w:p w14:paraId="6704161F" w14:textId="77777777" w:rsidR="00EF0458" w:rsidRDefault="00EF0458" w:rsidP="00EF0458">
      <w:pPr>
        <w:pStyle w:val="af5"/>
        <w:numPr>
          <w:ilvl w:val="0"/>
          <w:numId w:val="21"/>
        </w:numPr>
        <w:spacing w:before="120"/>
        <w:ind w:left="690" w:hanging="240"/>
        <w:rPr>
          <w:rFonts w:ascii="等线" w:eastAsia="等线" w:hAnsi="Times New Roman"/>
          <w:color w:val="000000"/>
        </w:rPr>
      </w:pPr>
      <w:r w:rsidRPr="00EF0458">
        <w:rPr>
          <w:rFonts w:ascii="等线" w:eastAsia="等线" w:hAnsi="Times New Roman"/>
          <w:color w:val="000000"/>
        </w:rPr>
        <w:t>Fudan University, Master of Laws</w:t>
      </w:r>
    </w:p>
    <w:p w14:paraId="6CD00C93" w14:textId="77777777" w:rsidR="00EF0458" w:rsidRDefault="00EF0458" w:rsidP="00EF0458">
      <w:pPr>
        <w:pStyle w:val="af5"/>
        <w:numPr>
          <w:ilvl w:val="0"/>
          <w:numId w:val="22"/>
        </w:numPr>
        <w:spacing w:before="120"/>
        <w:ind w:left="690" w:hanging="240"/>
        <w:rPr>
          <w:rFonts w:ascii="等线" w:eastAsia="等线" w:hAnsi="Times New Roman"/>
          <w:color w:val="000000"/>
        </w:rPr>
      </w:pPr>
      <w:r w:rsidRPr="00EF0458">
        <w:rPr>
          <w:rFonts w:ascii="等线" w:eastAsia="等线" w:hAnsi="Times New Roman"/>
          <w:color w:val="000000"/>
        </w:rPr>
        <w:t>Shanghai Maritime University, LL.B (Maritime Laws)</w:t>
      </w:r>
    </w:p>
    <w:p w14:paraId="5685565D"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Professional Qualification</w:t>
      </w:r>
    </w:p>
    <w:p w14:paraId="496CBDC3" w14:textId="77777777" w:rsidR="00EF0458" w:rsidRDefault="00EF0458" w:rsidP="00EF0458">
      <w:pPr>
        <w:pStyle w:val="af5"/>
        <w:numPr>
          <w:ilvl w:val="0"/>
          <w:numId w:val="23"/>
        </w:numPr>
        <w:spacing w:before="120"/>
        <w:ind w:left="690" w:hanging="240"/>
        <w:rPr>
          <w:rFonts w:ascii="等线" w:eastAsia="等线" w:hAnsi="Times New Roman"/>
          <w:color w:val="000000"/>
        </w:rPr>
      </w:pPr>
      <w:r w:rsidRPr="00EF0458">
        <w:rPr>
          <w:rFonts w:ascii="等线" w:eastAsia="等线" w:hAnsi="Times New Roman"/>
          <w:color w:val="000000"/>
        </w:rPr>
        <w:t>Admitted to practice in the PRC</w:t>
      </w:r>
    </w:p>
    <w:p w14:paraId="7422CD15"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Professional Background</w:t>
      </w:r>
    </w:p>
    <w:p w14:paraId="1F5F30AA" w14:textId="77777777" w:rsidR="00EF0458" w:rsidRDefault="00EF0458" w:rsidP="00EF0458">
      <w:pPr>
        <w:pStyle w:val="af5"/>
        <w:numPr>
          <w:ilvl w:val="0"/>
          <w:numId w:val="24"/>
        </w:numPr>
        <w:spacing w:before="120"/>
        <w:ind w:left="690" w:hanging="240"/>
        <w:rPr>
          <w:rFonts w:ascii="等线" w:eastAsia="等线" w:hAnsi="Times New Roman"/>
          <w:color w:val="000000"/>
        </w:rPr>
      </w:pPr>
      <w:r w:rsidRPr="00EF0458">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69F2AFE7"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OTHER INFORMATION</w:t>
      </w:r>
    </w:p>
    <w:p w14:paraId="2105D2C4" w14:textId="77777777" w:rsidR="00EF0458" w:rsidRDefault="00EF0458" w:rsidP="00EF0458">
      <w:pPr>
        <w:pStyle w:val="af5"/>
        <w:spacing w:after="0" w:line="480" w:lineRule="auto"/>
        <w:rPr>
          <w:rFonts w:ascii="等线" w:eastAsia="等线" w:hAnsi="等线"/>
          <w:b/>
          <w:sz w:val="24"/>
        </w:rPr>
      </w:pPr>
      <w:r w:rsidRPr="00EF0458">
        <w:rPr>
          <w:rFonts w:ascii="等线" w:eastAsia="等线" w:hAnsi="等线"/>
          <w:b/>
          <w:sz w:val="24"/>
        </w:rPr>
        <w:t>Honors and Awards</w:t>
      </w:r>
    </w:p>
    <w:p w14:paraId="32A26C24" w14:textId="77777777" w:rsidR="00EF0458" w:rsidRDefault="00EF0458" w:rsidP="00EF0458">
      <w:pPr>
        <w:pStyle w:val="af5"/>
        <w:numPr>
          <w:ilvl w:val="0"/>
          <w:numId w:val="25"/>
        </w:numPr>
        <w:spacing w:before="120"/>
        <w:ind w:left="690" w:hanging="240"/>
        <w:rPr>
          <w:rFonts w:ascii="等线" w:eastAsia="等线" w:hAnsi="Times New Roman"/>
          <w:color w:val="000000"/>
        </w:rPr>
      </w:pPr>
      <w:r w:rsidRPr="00EF0458">
        <w:rPr>
          <w:rFonts w:ascii="等线" w:eastAsia="等线" w:hAnsi="Times New Roman"/>
          <w:color w:val="000000"/>
        </w:rPr>
        <w:t xml:space="preserve">Awarded as </w:t>
      </w:r>
      <w:r w:rsidRPr="00EF0458">
        <w:rPr>
          <w:rFonts w:ascii="等线" w:eastAsia="等线" w:hAnsi="Times New Roman"/>
          <w:color w:val="000000"/>
        </w:rPr>
        <w:t>“</w:t>
      </w:r>
      <w:r w:rsidRPr="00EF0458">
        <w:rPr>
          <w:rFonts w:ascii="等线" w:eastAsia="等线" w:hAnsi="Times New Roman"/>
          <w:color w:val="000000"/>
        </w:rPr>
        <w:t>Rising Star</w:t>
      </w:r>
      <w:r w:rsidRPr="00EF0458">
        <w:rPr>
          <w:rFonts w:ascii="等线" w:eastAsia="等线" w:hAnsi="Times New Roman"/>
          <w:color w:val="000000"/>
        </w:rPr>
        <w:t>”</w:t>
      </w:r>
      <w:r w:rsidRPr="00EF0458">
        <w:rPr>
          <w:rFonts w:ascii="等线" w:eastAsia="等线" w:hAnsi="Times New Roman"/>
          <w:color w:val="000000"/>
        </w:rPr>
        <w:t xml:space="preserve"> by Legal 500 in Asia Pacific insurance law sector in 2022 and 2023, respectively </w:t>
      </w:r>
    </w:p>
    <w:p w14:paraId="5567FC3C" w14:textId="6552DA86" w:rsidR="00686369" w:rsidRPr="00EF0458" w:rsidRDefault="00EF0458" w:rsidP="00EF0458">
      <w:pPr>
        <w:pStyle w:val="af5"/>
        <w:numPr>
          <w:ilvl w:val="0"/>
          <w:numId w:val="26"/>
        </w:numPr>
        <w:spacing w:before="120"/>
        <w:ind w:left="690" w:hanging="240"/>
        <w:rPr>
          <w:rFonts w:ascii="等线" w:eastAsia="等线" w:hAnsi="Times New Roman"/>
          <w:color w:val="000000"/>
        </w:rPr>
      </w:pPr>
      <w:r w:rsidRPr="00EF0458">
        <w:rPr>
          <w:rFonts w:ascii="等线" w:eastAsia="等线" w:hAnsi="Times New Roman"/>
          <w:color w:val="000000"/>
        </w:rPr>
        <w:t xml:space="preserve">Awarded as </w:t>
      </w:r>
      <w:r w:rsidRPr="00EF0458">
        <w:rPr>
          <w:rFonts w:ascii="等线" w:eastAsia="等线" w:hAnsi="Times New Roman"/>
          <w:color w:val="000000"/>
        </w:rPr>
        <w:t>“</w:t>
      </w:r>
      <w:r w:rsidRPr="00EF0458">
        <w:rPr>
          <w:rFonts w:ascii="等线" w:eastAsia="等线" w:hAnsi="Times New Roman"/>
          <w:color w:val="000000"/>
        </w:rPr>
        <w:t>Next Generation Partner</w:t>
      </w:r>
      <w:r w:rsidRPr="00EF0458">
        <w:rPr>
          <w:rFonts w:ascii="等线" w:eastAsia="等线" w:hAnsi="Times New Roman"/>
          <w:color w:val="000000"/>
        </w:rPr>
        <w:t>”</w:t>
      </w:r>
      <w:r w:rsidRPr="00EF0458">
        <w:rPr>
          <w:rFonts w:ascii="等线" w:eastAsia="等线" w:hAnsi="Times New Roman"/>
          <w:color w:val="000000"/>
        </w:rPr>
        <w:t xml:space="preserve"> by Legal 500 in Asia Pacific insurance law sector in 2024 </w:t>
      </w:r>
    </w:p>
    <w:sectPr w:rsidR="00686369" w:rsidRPr="00EF04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63796"/>
    <w:multiLevelType w:val="singleLevel"/>
    <w:tmpl w:val="C87230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BC59C1"/>
    <w:multiLevelType w:val="singleLevel"/>
    <w:tmpl w:val="91BEC0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9B6963"/>
    <w:multiLevelType w:val="singleLevel"/>
    <w:tmpl w:val="6D2A77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C54D9E"/>
    <w:multiLevelType w:val="singleLevel"/>
    <w:tmpl w:val="0074B7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4E2322"/>
    <w:multiLevelType w:val="singleLevel"/>
    <w:tmpl w:val="A7F4C1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C72516"/>
    <w:multiLevelType w:val="singleLevel"/>
    <w:tmpl w:val="6D2A77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E2572A"/>
    <w:multiLevelType w:val="singleLevel"/>
    <w:tmpl w:val="0B0880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1A6083"/>
    <w:multiLevelType w:val="singleLevel"/>
    <w:tmpl w:val="8B6637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BD671B"/>
    <w:multiLevelType w:val="singleLevel"/>
    <w:tmpl w:val="96387D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3B1153"/>
    <w:multiLevelType w:val="singleLevel"/>
    <w:tmpl w:val="BE9E66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137DFF"/>
    <w:multiLevelType w:val="singleLevel"/>
    <w:tmpl w:val="514C69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8F291E"/>
    <w:multiLevelType w:val="singleLevel"/>
    <w:tmpl w:val="7FA211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E07D11"/>
    <w:multiLevelType w:val="singleLevel"/>
    <w:tmpl w:val="B636CF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E873AE"/>
    <w:multiLevelType w:val="singleLevel"/>
    <w:tmpl w:val="F55C82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736DB4"/>
    <w:multiLevelType w:val="singleLevel"/>
    <w:tmpl w:val="81FE86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6028EB"/>
    <w:multiLevelType w:val="singleLevel"/>
    <w:tmpl w:val="9F3085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756AAF"/>
    <w:multiLevelType w:val="singleLevel"/>
    <w:tmpl w:val="0BD421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6F5D32"/>
    <w:multiLevelType w:val="singleLevel"/>
    <w:tmpl w:val="07C8CD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C63ACB"/>
    <w:multiLevelType w:val="singleLevel"/>
    <w:tmpl w:val="51DCC2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DF0A5E"/>
    <w:multiLevelType w:val="singleLevel"/>
    <w:tmpl w:val="68CCC5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E25BD3"/>
    <w:multiLevelType w:val="singleLevel"/>
    <w:tmpl w:val="F364C3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6B4DD9"/>
    <w:multiLevelType w:val="singleLevel"/>
    <w:tmpl w:val="0CA2DE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B21DD9"/>
    <w:multiLevelType w:val="singleLevel"/>
    <w:tmpl w:val="614C38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641CB1"/>
    <w:multiLevelType w:val="singleLevel"/>
    <w:tmpl w:val="3102819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3"/>
  </w:num>
  <w:num w:numId="4">
    <w:abstractNumId w:val="18"/>
  </w:num>
  <w:num w:numId="5">
    <w:abstractNumId w:val="19"/>
  </w:num>
  <w:num w:numId="6">
    <w:abstractNumId w:val="1"/>
  </w:num>
  <w:num w:numId="7">
    <w:abstractNumId w:val="3"/>
  </w:num>
  <w:num w:numId="8">
    <w:abstractNumId w:val="20"/>
  </w:num>
  <w:num w:numId="9">
    <w:abstractNumId w:val="6"/>
  </w:num>
  <w:num w:numId="10">
    <w:abstractNumId w:val="23"/>
  </w:num>
  <w:num w:numId="11">
    <w:abstractNumId w:val="7"/>
  </w:num>
  <w:num w:numId="12">
    <w:abstractNumId w:val="15"/>
  </w:num>
  <w:num w:numId="13">
    <w:abstractNumId w:val="9"/>
  </w:num>
  <w:num w:numId="14">
    <w:abstractNumId w:val="25"/>
  </w:num>
  <w:num w:numId="15">
    <w:abstractNumId w:val="24"/>
  </w:num>
  <w:num w:numId="16">
    <w:abstractNumId w:val="14"/>
  </w:num>
  <w:num w:numId="17">
    <w:abstractNumId w:val="4"/>
  </w:num>
  <w:num w:numId="18">
    <w:abstractNumId w:val="0"/>
  </w:num>
  <w:num w:numId="19">
    <w:abstractNumId w:val="17"/>
  </w:num>
  <w:num w:numId="20">
    <w:abstractNumId w:val="21"/>
  </w:num>
  <w:num w:numId="21">
    <w:abstractNumId w:val="10"/>
  </w:num>
  <w:num w:numId="22">
    <w:abstractNumId w:val="22"/>
  </w:num>
  <w:num w:numId="23">
    <w:abstractNumId w:val="11"/>
  </w:num>
  <w:num w:numId="24">
    <w:abstractNumId w:val="16"/>
  </w:num>
  <w:num w:numId="25">
    <w:abstractNumId w:val="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0458"/>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0458"/>
    <w:pPr>
      <w:spacing w:after="120"/>
    </w:pPr>
  </w:style>
  <w:style w:type="character" w:customStyle="1" w:styleId="af6">
    <w:name w:val="正文文本 字符"/>
    <w:basedOn w:val="a0"/>
    <w:link w:val="af5"/>
    <w:uiPriority w:val="99"/>
    <w:rsid w:val="00EF04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B384B-8607-4B55-88E8-F75E7316F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2026-09-18T23:09:00Z</dcterms:created>
  <dcterms:modified xsi:type="dcterms:W3CDTF">2026-09-18T23:09:00Z</dcterms:modified>
</cp:coreProperties>
</file>