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ED3FF1" w:rsidR="0049405C" w:rsidRPr="00C24D79" w:rsidRDefault="005F3D6D" w:rsidP="005F3D6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F3D6D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658754F3" w14:textId="77777777" w:rsidR="005F3D6D" w:rsidRPr="005F3D6D" w:rsidRDefault="005F3D6D" w:rsidP="005F3D6D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3D2D71B" w:rsidR="0049405C" w:rsidRPr="00C24D79" w:rsidRDefault="005F3D6D" w:rsidP="005F3D6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F3D6D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A92DEB5" w:rsidR="0049405C" w:rsidRPr="00C24D79" w:rsidRDefault="005F3D6D" w:rsidP="005F3D6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F3D6D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0F768C90" w:rsidR="0049405C" w:rsidRPr="00C24D79" w:rsidRDefault="005F3D6D" w:rsidP="005F3D6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F3D6D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BD8611" w:rsidR="0049405C" w:rsidRPr="00C24D79" w:rsidRDefault="005F3D6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CD1211" wp14:editId="2FA28C8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1FB3CBD" w:rsidR="009465FB" w:rsidRPr="00C24D79" w:rsidRDefault="005F3D6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F3D6D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ADC696" w14:textId="77777777" w:rsidR="005F3D6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2EB8B5" w14:textId="77777777" w:rsidR="005F3D6D" w:rsidRDefault="005F3D6D" w:rsidP="005F3D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D6D">
        <w:rPr>
          <w:rFonts w:ascii="等线" w:eastAsia="等线" w:hAnsi="等线"/>
          <w:b/>
          <w:sz w:val="24"/>
        </w:rPr>
        <w:t>REPRESENTATIVE MATTERS AND CASES</w:t>
      </w:r>
    </w:p>
    <w:p w14:paraId="6A701704" w14:textId="77777777" w:rsidR="005F3D6D" w:rsidRDefault="005F3D6D" w:rsidP="005F3D6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A1FF51E" w14:textId="77777777" w:rsidR="005F3D6D" w:rsidRDefault="005F3D6D" w:rsidP="005F3D6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7112666A" w14:textId="77777777" w:rsidR="005F3D6D" w:rsidRDefault="005F3D6D" w:rsidP="005F3D6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1A0A6E87" w14:textId="77777777" w:rsidR="005F3D6D" w:rsidRDefault="005F3D6D" w:rsidP="005F3D6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7DD7041B" w14:textId="77777777" w:rsidR="005F3D6D" w:rsidRDefault="005F3D6D" w:rsidP="005F3D6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5F3D6D">
        <w:rPr>
          <w:rFonts w:ascii="等线" w:eastAsia="等线" w:hAnsi="Times New Roman"/>
          <w:color w:val="000000"/>
        </w:rPr>
        <w:t>“</w:t>
      </w:r>
      <w:r w:rsidRPr="005F3D6D">
        <w:rPr>
          <w:rFonts w:ascii="等线" w:eastAsia="等线" w:hAnsi="Times New Roman"/>
          <w:color w:val="000000"/>
        </w:rPr>
        <w:t>STA</w:t>
      </w:r>
      <w:r w:rsidRPr="005F3D6D">
        <w:rPr>
          <w:rFonts w:ascii="等线" w:eastAsia="等线" w:hAnsi="Times New Roman"/>
          <w:color w:val="000000"/>
        </w:rPr>
        <w:t>”</w:t>
      </w:r>
      <w:r w:rsidRPr="005F3D6D">
        <w:rPr>
          <w:rFonts w:ascii="等线" w:eastAsia="等线" w:hAnsi="Times New Roman"/>
          <w:color w:val="000000"/>
        </w:rPr>
        <w:t>, 832159) and the delisting of STA from the NEEQ</w:t>
      </w:r>
    </w:p>
    <w:p w14:paraId="35F345BE" w14:textId="77777777" w:rsidR="005F3D6D" w:rsidRDefault="005F3D6D" w:rsidP="005F3D6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</w:t>
      </w:r>
      <w:r w:rsidRPr="005F3D6D">
        <w:rPr>
          <w:rFonts w:ascii="等线" w:eastAsia="等线" w:hAnsi="Times New Roman"/>
          <w:color w:val="000000"/>
        </w:rPr>
        <w:t> </w:t>
      </w:r>
      <w:r w:rsidRPr="005F3D6D">
        <w:rPr>
          <w:rFonts w:ascii="等线" w:eastAsia="等线" w:hAnsi="Times New Roman"/>
          <w:color w:val="000000"/>
        </w:rPr>
        <w:t xml:space="preserve"> in connection with the A-shares IPO and listing of Contemporary Amperex Technology Co., Limited (300750.SZ)</w:t>
      </w:r>
    </w:p>
    <w:p w14:paraId="35B5DB9C" w14:textId="77777777" w:rsidR="005F3D6D" w:rsidRDefault="005F3D6D" w:rsidP="005F3D6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711EB043" w14:textId="77777777" w:rsidR="005F3D6D" w:rsidRDefault="005F3D6D" w:rsidP="005F3D6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28A5EFB0" w14:textId="77777777" w:rsidR="005F3D6D" w:rsidRDefault="005F3D6D" w:rsidP="005F3D6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7AD399C0" w14:textId="77777777" w:rsidR="005F3D6D" w:rsidRDefault="005F3D6D" w:rsidP="005F3D6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308F19BE" w14:textId="77777777" w:rsidR="005F3D6D" w:rsidRDefault="005F3D6D" w:rsidP="005F3D6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2D096C2F" w14:textId="77777777" w:rsidR="005F3D6D" w:rsidRDefault="005F3D6D" w:rsidP="005F3D6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6DCAE085" w14:textId="77777777" w:rsidR="005F3D6D" w:rsidRDefault="005F3D6D" w:rsidP="005F3D6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06822082" w14:textId="77777777" w:rsidR="005F3D6D" w:rsidRDefault="005F3D6D" w:rsidP="005F3D6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2069E59A" w14:textId="77777777" w:rsidR="005F3D6D" w:rsidRDefault="005F3D6D" w:rsidP="005F3D6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2FB44C7E" w14:textId="77777777" w:rsidR="005F3D6D" w:rsidRDefault="005F3D6D" w:rsidP="005F3D6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3F33CF09" w14:textId="77777777" w:rsidR="005F3D6D" w:rsidRDefault="005F3D6D" w:rsidP="005F3D6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5F3D6D">
        <w:rPr>
          <w:rFonts w:ascii="等线" w:eastAsia="等线" w:hAnsi="Times New Roman"/>
          <w:color w:val="000000"/>
        </w:rPr>
        <w:t>’</w:t>
      </w:r>
      <w:r w:rsidRPr="005F3D6D">
        <w:rPr>
          <w:rFonts w:ascii="等线" w:eastAsia="等线" w:hAnsi="Times New Roman"/>
          <w:color w:val="000000"/>
        </w:rPr>
        <w:t>s Government</w:t>
      </w:r>
      <w:r w:rsidRPr="005F3D6D">
        <w:rPr>
          <w:rFonts w:ascii="等线" w:eastAsia="等线" w:hAnsi="Times New Roman"/>
          <w:color w:val="000000"/>
        </w:rPr>
        <w:t>’</w:t>
      </w:r>
      <w:r w:rsidRPr="005F3D6D">
        <w:rPr>
          <w:rFonts w:ascii="等线" w:eastAsia="等线" w:hAnsi="Times New Roman"/>
          <w:color w:val="000000"/>
        </w:rPr>
        <w:t>s Ministry of Finance (MOF), including MOF</w:t>
      </w:r>
      <w:r w:rsidRPr="005F3D6D">
        <w:rPr>
          <w:rFonts w:ascii="等线" w:eastAsia="等线" w:hAnsi="Times New Roman"/>
          <w:color w:val="000000"/>
        </w:rPr>
        <w:t>’</w:t>
      </w:r>
      <w:r w:rsidRPr="005F3D6D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414D8E2F" w14:textId="77777777" w:rsidR="005F3D6D" w:rsidRDefault="005F3D6D" w:rsidP="005F3D6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5F3D6D">
        <w:rPr>
          <w:rFonts w:ascii="等线" w:eastAsia="等线" w:hAnsi="Times New Roman"/>
          <w:color w:val="000000"/>
        </w:rPr>
        <w:t>’</w:t>
      </w:r>
      <w:r w:rsidRPr="005F3D6D">
        <w:rPr>
          <w:rFonts w:ascii="等线" w:eastAsia="等线" w:hAnsi="Times New Roman"/>
          <w:color w:val="000000"/>
        </w:rPr>
        <w:t>s Bank of China in 2018 and 2019</w:t>
      </w:r>
    </w:p>
    <w:p w14:paraId="642CB5B9" w14:textId="77777777" w:rsidR="005F3D6D" w:rsidRDefault="005F3D6D" w:rsidP="005F3D6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1C34A11F" w14:textId="77777777" w:rsidR="005F3D6D" w:rsidRDefault="005F3D6D" w:rsidP="005F3D6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Represented e-Hi Car in its offshore USD bonds issuance</w:t>
      </w:r>
    </w:p>
    <w:p w14:paraId="08E548F8" w14:textId="77777777" w:rsidR="005F3D6D" w:rsidRDefault="005F3D6D" w:rsidP="005F3D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D6D">
        <w:rPr>
          <w:rFonts w:ascii="等线" w:eastAsia="等线" w:hAnsi="等线"/>
          <w:b/>
          <w:sz w:val="24"/>
        </w:rPr>
        <w:t>Education</w:t>
      </w:r>
    </w:p>
    <w:p w14:paraId="56B5DB05" w14:textId="77777777" w:rsidR="005F3D6D" w:rsidRDefault="005F3D6D" w:rsidP="005F3D6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China University of Political Science and Law, LL.B.</w:t>
      </w:r>
    </w:p>
    <w:p w14:paraId="11C090E5" w14:textId="77777777" w:rsidR="005F3D6D" w:rsidRDefault="005F3D6D" w:rsidP="005F3D6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China University of Political Science and Law, LL.M.</w:t>
      </w:r>
    </w:p>
    <w:p w14:paraId="1637AB59" w14:textId="77777777" w:rsidR="005F3D6D" w:rsidRDefault="005F3D6D" w:rsidP="005F3D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D6D">
        <w:rPr>
          <w:rFonts w:ascii="等线" w:eastAsia="等线" w:hAnsi="等线"/>
          <w:b/>
          <w:sz w:val="24"/>
        </w:rPr>
        <w:t>Professional Qualification</w:t>
      </w:r>
    </w:p>
    <w:p w14:paraId="09854191" w14:textId="77777777" w:rsidR="005F3D6D" w:rsidRDefault="005F3D6D" w:rsidP="005F3D6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Admitted to practice in the PRC</w:t>
      </w:r>
    </w:p>
    <w:p w14:paraId="52D498C5" w14:textId="77777777" w:rsidR="005F3D6D" w:rsidRDefault="005F3D6D" w:rsidP="005F3D6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Registered Foreign Lawyer in Hong Kong SAR</w:t>
      </w:r>
    </w:p>
    <w:p w14:paraId="7CA222E7" w14:textId="77777777" w:rsidR="005F3D6D" w:rsidRDefault="005F3D6D" w:rsidP="005F3D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D6D">
        <w:rPr>
          <w:rFonts w:ascii="等线" w:eastAsia="等线" w:hAnsi="等线"/>
          <w:b/>
          <w:sz w:val="24"/>
        </w:rPr>
        <w:t>Professional Background</w:t>
      </w:r>
    </w:p>
    <w:p w14:paraId="5567FC3C" w14:textId="7321F57F" w:rsidR="00686369" w:rsidRPr="005F3D6D" w:rsidRDefault="005F3D6D" w:rsidP="005F3D6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D6D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5F3D6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4FA"/>
    <w:multiLevelType w:val="singleLevel"/>
    <w:tmpl w:val="DFFC7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2C3702"/>
    <w:multiLevelType w:val="singleLevel"/>
    <w:tmpl w:val="F9327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0335221"/>
    <w:multiLevelType w:val="singleLevel"/>
    <w:tmpl w:val="B6E2A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310F6D"/>
    <w:multiLevelType w:val="singleLevel"/>
    <w:tmpl w:val="67CA2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3C43649"/>
    <w:multiLevelType w:val="singleLevel"/>
    <w:tmpl w:val="258A8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8E2664"/>
    <w:multiLevelType w:val="singleLevel"/>
    <w:tmpl w:val="5BC4C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9510B9"/>
    <w:multiLevelType w:val="singleLevel"/>
    <w:tmpl w:val="85F69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9B65B9"/>
    <w:multiLevelType w:val="singleLevel"/>
    <w:tmpl w:val="521ED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2E6269"/>
    <w:multiLevelType w:val="singleLevel"/>
    <w:tmpl w:val="106EC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CF4B8F"/>
    <w:multiLevelType w:val="singleLevel"/>
    <w:tmpl w:val="F1A6EC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E06C03"/>
    <w:multiLevelType w:val="singleLevel"/>
    <w:tmpl w:val="E4B80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F86F6D"/>
    <w:multiLevelType w:val="singleLevel"/>
    <w:tmpl w:val="1FFE9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705110"/>
    <w:multiLevelType w:val="singleLevel"/>
    <w:tmpl w:val="60D08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E06A25"/>
    <w:multiLevelType w:val="singleLevel"/>
    <w:tmpl w:val="AB3C8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441382"/>
    <w:multiLevelType w:val="singleLevel"/>
    <w:tmpl w:val="B87E5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587EAC"/>
    <w:multiLevelType w:val="singleLevel"/>
    <w:tmpl w:val="60CCF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0907B6"/>
    <w:multiLevelType w:val="singleLevel"/>
    <w:tmpl w:val="4DA06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61735D"/>
    <w:multiLevelType w:val="singleLevel"/>
    <w:tmpl w:val="BE4C0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7865D9"/>
    <w:multiLevelType w:val="singleLevel"/>
    <w:tmpl w:val="F1A6EC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6C1B10"/>
    <w:multiLevelType w:val="singleLevel"/>
    <w:tmpl w:val="FF96D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C90145"/>
    <w:multiLevelType w:val="singleLevel"/>
    <w:tmpl w:val="19041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AF1804"/>
    <w:multiLevelType w:val="singleLevel"/>
    <w:tmpl w:val="31747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3310E7"/>
    <w:multiLevelType w:val="singleLevel"/>
    <w:tmpl w:val="0EB81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FD42E8"/>
    <w:multiLevelType w:val="singleLevel"/>
    <w:tmpl w:val="D8188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AB31E0"/>
    <w:multiLevelType w:val="singleLevel"/>
    <w:tmpl w:val="92462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3"/>
  </w:num>
  <w:num w:numId="4">
    <w:abstractNumId w:val="15"/>
  </w:num>
  <w:num w:numId="5">
    <w:abstractNumId w:val="13"/>
  </w:num>
  <w:num w:numId="6">
    <w:abstractNumId w:val="4"/>
  </w:num>
  <w:num w:numId="7">
    <w:abstractNumId w:val="21"/>
  </w:num>
  <w:num w:numId="8">
    <w:abstractNumId w:val="22"/>
  </w:num>
  <w:num w:numId="9">
    <w:abstractNumId w:val="7"/>
  </w:num>
  <w:num w:numId="10">
    <w:abstractNumId w:val="18"/>
  </w:num>
  <w:num w:numId="11">
    <w:abstractNumId w:val="24"/>
  </w:num>
  <w:num w:numId="12">
    <w:abstractNumId w:val="1"/>
  </w:num>
  <w:num w:numId="13">
    <w:abstractNumId w:val="8"/>
  </w:num>
  <w:num w:numId="14">
    <w:abstractNumId w:val="12"/>
  </w:num>
  <w:num w:numId="15">
    <w:abstractNumId w:val="10"/>
  </w:num>
  <w:num w:numId="16">
    <w:abstractNumId w:val="26"/>
  </w:num>
  <w:num w:numId="17">
    <w:abstractNumId w:val="6"/>
  </w:num>
  <w:num w:numId="18">
    <w:abstractNumId w:val="5"/>
  </w:num>
  <w:num w:numId="19">
    <w:abstractNumId w:val="16"/>
  </w:num>
  <w:num w:numId="20">
    <w:abstractNumId w:val="19"/>
  </w:num>
  <w:num w:numId="21">
    <w:abstractNumId w:val="3"/>
  </w:num>
  <w:num w:numId="22">
    <w:abstractNumId w:val="2"/>
  </w:num>
  <w:num w:numId="23">
    <w:abstractNumId w:val="17"/>
  </w:num>
  <w:num w:numId="24">
    <w:abstractNumId w:val="0"/>
  </w:num>
  <w:num w:numId="25">
    <w:abstractNumId w:val="25"/>
  </w:num>
  <w:num w:numId="26">
    <w:abstractNumId w:val="2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3D6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F3D6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F3D6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C02564-BE24-4F00-A29C-AE0C6F4A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2026-09-17T22:14:00Z</dcterms:created>
  <dcterms:modified xsi:type="dcterms:W3CDTF">2026-09-17T22:14:00Z</dcterms:modified>
</cp:coreProperties>
</file>