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3C8B9A9" w:rsidR="0049405C" w:rsidRPr="00C24D79" w:rsidRDefault="00DA5FE2" w:rsidP="00DA5FE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A5FE2">
              <w:rPr>
                <w:rFonts w:ascii="等线" w:eastAsia="等线" w:hAnsi="Times New Roman"/>
                <w:b/>
                <w:color w:val="000000"/>
                <w:sz w:val="48"/>
              </w:rPr>
              <w:t>HAO ZHANG</w:t>
            </w:r>
            <w:bookmarkEnd w:id="0"/>
          </w:p>
          <w:p w14:paraId="706EB16B" w14:textId="2687744B" w:rsidR="0049405C" w:rsidRPr="00C24D79" w:rsidRDefault="00DA5FE2" w:rsidP="00DA5FE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A5FE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A5FE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A5FE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5852A4D" w:rsidR="0049405C" w:rsidRPr="00C24D79" w:rsidRDefault="00DA5FE2" w:rsidP="00DA5FE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A5FE2">
              <w:rPr>
                <w:rFonts w:ascii="等线" w:eastAsia="等线" w:hAnsi="Times New Roman"/>
                <w:color w:val="000000"/>
              </w:rPr>
              <w:t xml:space="preserve">+86 21 6263 5917 </w:t>
            </w:r>
            <w:bookmarkEnd w:id="3"/>
          </w:p>
          <w:p w14:paraId="4F910ACA" w14:textId="50B4A9A2" w:rsidR="0049405C" w:rsidRPr="00C24D79" w:rsidRDefault="00DA5FE2" w:rsidP="00DA5FE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A5FE2">
              <w:rPr>
                <w:rFonts w:ascii="等线" w:eastAsia="等线" w:hAnsi="Times New Roman"/>
                <w:color w:val="000000"/>
              </w:rPr>
              <w:t>hao.zhang@fangdalaw.com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E2F302" w:rsidR="0049405C" w:rsidRPr="00C24D79" w:rsidRDefault="00DA5FE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6914555" wp14:editId="62DA787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DDC87A4" w:rsidR="009465FB" w:rsidRPr="00C24D79" w:rsidRDefault="00DA5FE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A5FE2">
              <w:rPr>
                <w:rFonts w:ascii="等线" w:eastAsia="等线" w:hAnsi="Times New Roman"/>
                <w:color w:val="000000"/>
                <w:szCs w:val="21"/>
              </w:rPr>
              <w:t>MR. HAO ZHANG SPECIALIZES IN M&amp;A, PRIVATE EQUITY INVESTMENT,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F7DFB2E" w14:textId="77777777" w:rsidR="00DA5FE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B643C96" w14:textId="77777777" w:rsidR="00DA5FE2" w:rsidRDefault="00DA5FE2" w:rsidP="00DA5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A5FE2">
        <w:rPr>
          <w:rFonts w:ascii="等线" w:eastAsia="等线" w:hAnsi="等线"/>
          <w:b/>
          <w:sz w:val="24"/>
        </w:rPr>
        <w:t>REPRESENTATIVE MATTERS AND CASES</w:t>
      </w:r>
    </w:p>
    <w:p w14:paraId="2C5D636E" w14:textId="77777777" w:rsidR="00DA5FE2" w:rsidRDefault="00DA5FE2" w:rsidP="00DA5FE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4EBEF8A" w14:textId="77777777" w:rsidR="00DA5FE2" w:rsidRDefault="00DA5FE2" w:rsidP="00DA5FE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SoftBank Vision Fund in its investment in Didi Chuxing, one of the largest app-based transportation companies headquartered in China</w:t>
      </w:r>
    </w:p>
    <w:p w14:paraId="4814DA24" w14:textId="77777777" w:rsidR="00DA5FE2" w:rsidRDefault="00DA5FE2" w:rsidP="00DA5FE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SoftBank Vision Fund in its investment in the China piece of OYO Rooms, the world</w:t>
      </w:r>
      <w:r w:rsidRPr="00DA5FE2">
        <w:rPr>
          <w:rFonts w:ascii="等线" w:eastAsia="等线" w:hAnsi="Times New Roman"/>
          <w:color w:val="000000"/>
        </w:rPr>
        <w:t>’</w:t>
      </w:r>
      <w:r w:rsidRPr="00DA5FE2">
        <w:rPr>
          <w:rFonts w:ascii="等线" w:eastAsia="等线" w:hAnsi="Times New Roman"/>
          <w:color w:val="000000"/>
        </w:rPr>
        <w:t>s third-largest and fastest-growing hospitality chain of leased and franchised hotels and homes</w:t>
      </w:r>
    </w:p>
    <w:p w14:paraId="545CA848" w14:textId="77777777" w:rsidR="00DA5FE2" w:rsidRDefault="00DA5FE2" w:rsidP="00DA5FE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SoftBank Vision Fund in series D+ investment in Beike, a leading app-based real estate brokerage service and financial services provider in China</w:t>
      </w:r>
    </w:p>
    <w:p w14:paraId="2A5BECCA" w14:textId="77777777" w:rsidR="00DA5FE2" w:rsidRDefault="00DA5FE2" w:rsidP="00DA5FE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SoftBank Vision Fund in its Series C investment in Ziroom, a leading service provider of long- and short-term lease of renovated apartments</w:t>
      </w:r>
    </w:p>
    <w:p w14:paraId="241BABAD" w14:textId="77777777" w:rsidR="00DA5FE2" w:rsidRDefault="00DA5FE2" w:rsidP="00DA5FE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Yunfeng Capital in its equity investment in a China internet-based insurance brokerage service provider</w:t>
      </w:r>
    </w:p>
    <w:p w14:paraId="6449F177" w14:textId="77777777" w:rsidR="00DA5FE2" w:rsidRDefault="00DA5FE2" w:rsidP="00DA5FE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TPG Capital in its proposed investment in a domestic e-commerce logistics company in Shanghai</w:t>
      </w:r>
    </w:p>
    <w:p w14:paraId="0986D69C" w14:textId="77777777" w:rsidR="00DA5FE2" w:rsidRDefault="00DA5FE2" w:rsidP="00DA5FE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Colgate-Palmolive in its proposed acquisition of 75% equity interest in a leading personal oral care company in China</w:t>
      </w:r>
    </w:p>
    <w:p w14:paraId="312A24FC" w14:textId="77777777" w:rsidR="00DA5FE2" w:rsidRDefault="00DA5FE2" w:rsidP="00DA5FE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Nouryon (formally AkzoNobel Specialty Chemical) in its acquisition of a China-based chemical product manufacturer</w:t>
      </w:r>
    </w:p>
    <w:p w14:paraId="657B84E3" w14:textId="77777777" w:rsidR="00DA5FE2" w:rsidRDefault="00DA5FE2" w:rsidP="00DA5FE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Axalta Coating Systems in its acquisition of a China-based coatings company</w:t>
      </w:r>
    </w:p>
    <w:p w14:paraId="5D9661C0" w14:textId="77777777" w:rsidR="00DA5FE2" w:rsidRDefault="00DA5FE2" w:rsidP="00DA5FE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Pall Corporation, a subsidiary of Danaher Corporation, in its disposal of water purification system businesses</w:t>
      </w:r>
    </w:p>
    <w:p w14:paraId="68A12EE4" w14:textId="77777777" w:rsidR="00DA5FE2" w:rsidRDefault="00DA5FE2" w:rsidP="00DA5FE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Jamieson Laboratories, one of the largest nutritional food manufacturers and distributors in Canada, in its joint venture in China</w:t>
      </w:r>
    </w:p>
    <w:p w14:paraId="6A2EC457" w14:textId="77777777" w:rsidR="00DA5FE2" w:rsidRDefault="00DA5FE2" w:rsidP="00DA5FE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VMware in its investment in and business operation with a domestic cloud solution provider in China</w:t>
      </w:r>
    </w:p>
    <w:p w14:paraId="68868FCF" w14:textId="77777777" w:rsidR="00DA5FE2" w:rsidRDefault="00DA5FE2" w:rsidP="00DA5FE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a California-based biotech company in its joint venture in China for CAR-T immunotherapies treatment business</w:t>
      </w:r>
    </w:p>
    <w:p w14:paraId="2F334128" w14:textId="77777777" w:rsidR="00DA5FE2" w:rsidRDefault="00DA5FE2" w:rsidP="00DA5FE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Morgan Stanley Real Estate Fund in its indirect acquisition of a logistics park in Dongguan through its direct acquisition of a warehousing company in Dongguan</w:t>
      </w:r>
    </w:p>
    <w:p w14:paraId="744F3F8B" w14:textId="77777777" w:rsidR="00DA5FE2" w:rsidRDefault="00DA5FE2" w:rsidP="00DA5FE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GLP in its indirect acquisition of a logistics real property in Tianjin Free Trade Zone through its direct acquisition of a logistics company in Tianjin</w:t>
      </w:r>
    </w:p>
    <w:p w14:paraId="7FB81967" w14:textId="77777777" w:rsidR="00DA5FE2" w:rsidRDefault="00DA5FE2" w:rsidP="00DA5FE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KHI Overseas Limited in its indirect acquisition of Crystal Galleria, a Grade-A office tower in Jing</w:t>
      </w:r>
      <w:r w:rsidRPr="00DA5FE2">
        <w:rPr>
          <w:rFonts w:ascii="等线" w:eastAsia="等线" w:hAnsi="Times New Roman"/>
          <w:color w:val="000000"/>
        </w:rPr>
        <w:t>’</w:t>
      </w:r>
      <w:r w:rsidRPr="00DA5FE2">
        <w:rPr>
          <w:rFonts w:ascii="等线" w:eastAsia="等线" w:hAnsi="Times New Roman"/>
          <w:color w:val="000000"/>
        </w:rPr>
        <w:t>an District, Shanghai, through its direct acquisition of a majority interest in an offshore subsidiary of Shenzhen World Union (002285.SZ)</w:t>
      </w:r>
    </w:p>
    <w:p w14:paraId="6D4EDE21" w14:textId="77777777" w:rsidR="00DA5FE2" w:rsidRDefault="00DA5FE2" w:rsidP="00DA5FE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China National Biotech Group in its proposed bid to acquire a leading Israel-based aesthetic medical device manufacturer</w:t>
      </w:r>
    </w:p>
    <w:p w14:paraId="138B4B32" w14:textId="77777777" w:rsidR="00DA5FE2" w:rsidRDefault="00DA5FE2" w:rsidP="00DA5FE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Represented a Beijing-based private equity firm in its proposed $148 million asset acquisition of the physical vapor deposition business unit of Praxair, Inc.</w:t>
      </w:r>
    </w:p>
    <w:p w14:paraId="7155097F" w14:textId="77777777" w:rsidR="00DA5FE2" w:rsidRDefault="00DA5FE2" w:rsidP="00DA5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A5FE2">
        <w:rPr>
          <w:rFonts w:ascii="等线" w:eastAsia="等线" w:hAnsi="等线"/>
          <w:b/>
          <w:sz w:val="24"/>
        </w:rPr>
        <w:t>Education</w:t>
      </w:r>
    </w:p>
    <w:p w14:paraId="70A06393" w14:textId="77777777" w:rsidR="00DA5FE2" w:rsidRDefault="00DA5FE2" w:rsidP="00DA5FE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Fudan University School of Law, LL.B., 2009</w:t>
      </w:r>
    </w:p>
    <w:p w14:paraId="0B19E74E" w14:textId="77777777" w:rsidR="00DA5FE2" w:rsidRDefault="00DA5FE2" w:rsidP="00DA5FE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New York University School of Law, LL.M., 2015</w:t>
      </w:r>
    </w:p>
    <w:p w14:paraId="27FCD699" w14:textId="77777777" w:rsidR="00DA5FE2" w:rsidRDefault="00DA5FE2" w:rsidP="00DA5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A5FE2">
        <w:rPr>
          <w:rFonts w:ascii="等线" w:eastAsia="等线" w:hAnsi="等线"/>
          <w:b/>
          <w:sz w:val="24"/>
        </w:rPr>
        <w:t>Professional Qualification</w:t>
      </w:r>
    </w:p>
    <w:p w14:paraId="7F21FAA1" w14:textId="77777777" w:rsidR="00DA5FE2" w:rsidRDefault="00DA5FE2" w:rsidP="00DA5FE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Admitted to practice in the PRC</w:t>
      </w:r>
    </w:p>
    <w:p w14:paraId="0D4CE817" w14:textId="77777777" w:rsidR="00DA5FE2" w:rsidRDefault="00DA5FE2" w:rsidP="00DA5FE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Admitted to practice in New York</w:t>
      </w:r>
    </w:p>
    <w:p w14:paraId="6281911C" w14:textId="77777777" w:rsidR="00DA5FE2" w:rsidRDefault="00DA5FE2" w:rsidP="00DA5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A5FE2">
        <w:rPr>
          <w:rFonts w:ascii="等线" w:eastAsia="等线" w:hAnsi="等线"/>
          <w:b/>
          <w:sz w:val="24"/>
        </w:rPr>
        <w:t>Professional Background</w:t>
      </w:r>
    </w:p>
    <w:p w14:paraId="5567FC3C" w14:textId="1FA8BBC9" w:rsidR="00686369" w:rsidRPr="00DA5FE2" w:rsidRDefault="00DA5FE2" w:rsidP="00DA5FE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A5FE2">
        <w:rPr>
          <w:rFonts w:ascii="等线" w:eastAsia="等线" w:hAnsi="Times New Roman"/>
          <w:color w:val="000000"/>
        </w:rPr>
        <w:t>Mr. Zhang joined the firm in 2019. Before joining Fangda, Mr. Zhang worked at several leading international and PRC law firms in their Shanghai and Beijing offices.</w:t>
      </w:r>
    </w:p>
    <w:sectPr w:rsidR="00686369" w:rsidRPr="00DA5FE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961"/>
    <w:multiLevelType w:val="singleLevel"/>
    <w:tmpl w:val="21285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CC500D"/>
    <w:multiLevelType w:val="singleLevel"/>
    <w:tmpl w:val="BC9AE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E34C2C"/>
    <w:multiLevelType w:val="singleLevel"/>
    <w:tmpl w:val="9EA22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4C7A16"/>
    <w:multiLevelType w:val="singleLevel"/>
    <w:tmpl w:val="28580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5E0B6D"/>
    <w:multiLevelType w:val="singleLevel"/>
    <w:tmpl w:val="CC4E4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9C70BA"/>
    <w:multiLevelType w:val="singleLevel"/>
    <w:tmpl w:val="053AC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3E40EF"/>
    <w:multiLevelType w:val="singleLevel"/>
    <w:tmpl w:val="40DEF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AF4230"/>
    <w:multiLevelType w:val="singleLevel"/>
    <w:tmpl w:val="0CB6D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FE11B2"/>
    <w:multiLevelType w:val="singleLevel"/>
    <w:tmpl w:val="E67E3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6659DF"/>
    <w:multiLevelType w:val="singleLevel"/>
    <w:tmpl w:val="89AE8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33183E"/>
    <w:multiLevelType w:val="singleLevel"/>
    <w:tmpl w:val="98A21B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3636410"/>
    <w:multiLevelType w:val="singleLevel"/>
    <w:tmpl w:val="4E709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4B057A2"/>
    <w:multiLevelType w:val="singleLevel"/>
    <w:tmpl w:val="240C5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E05392"/>
    <w:multiLevelType w:val="singleLevel"/>
    <w:tmpl w:val="E47E5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86B519C"/>
    <w:multiLevelType w:val="singleLevel"/>
    <w:tmpl w:val="31D2B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CFB43CB"/>
    <w:multiLevelType w:val="singleLevel"/>
    <w:tmpl w:val="9DC4D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0833AA2"/>
    <w:multiLevelType w:val="singleLevel"/>
    <w:tmpl w:val="4E709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5583E89"/>
    <w:multiLevelType w:val="singleLevel"/>
    <w:tmpl w:val="8BBC3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65B7945"/>
    <w:multiLevelType w:val="singleLevel"/>
    <w:tmpl w:val="50BA69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744708C"/>
    <w:multiLevelType w:val="singleLevel"/>
    <w:tmpl w:val="5D46C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86706EF"/>
    <w:multiLevelType w:val="singleLevel"/>
    <w:tmpl w:val="E0E20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426719"/>
    <w:multiLevelType w:val="singleLevel"/>
    <w:tmpl w:val="15FA8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6A161E"/>
    <w:multiLevelType w:val="singleLevel"/>
    <w:tmpl w:val="F0BE3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BC64B4"/>
    <w:multiLevelType w:val="singleLevel"/>
    <w:tmpl w:val="FD3A44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4"/>
  </w:num>
  <w:num w:numId="4">
    <w:abstractNumId w:val="10"/>
  </w:num>
  <w:num w:numId="5">
    <w:abstractNumId w:val="11"/>
  </w:num>
  <w:num w:numId="6">
    <w:abstractNumId w:val="22"/>
  </w:num>
  <w:num w:numId="7">
    <w:abstractNumId w:val="3"/>
  </w:num>
  <w:num w:numId="8">
    <w:abstractNumId w:val="0"/>
  </w:num>
  <w:num w:numId="9">
    <w:abstractNumId w:val="20"/>
  </w:num>
  <w:num w:numId="10">
    <w:abstractNumId w:val="5"/>
  </w:num>
  <w:num w:numId="11">
    <w:abstractNumId w:val="14"/>
  </w:num>
  <w:num w:numId="12">
    <w:abstractNumId w:val="17"/>
  </w:num>
  <w:num w:numId="13">
    <w:abstractNumId w:val="23"/>
  </w:num>
  <w:num w:numId="14">
    <w:abstractNumId w:val="8"/>
  </w:num>
  <w:num w:numId="15">
    <w:abstractNumId w:val="15"/>
  </w:num>
  <w:num w:numId="16">
    <w:abstractNumId w:val="16"/>
  </w:num>
  <w:num w:numId="17">
    <w:abstractNumId w:val="6"/>
  </w:num>
  <w:num w:numId="18">
    <w:abstractNumId w:val="2"/>
  </w:num>
  <w:num w:numId="19">
    <w:abstractNumId w:val="7"/>
  </w:num>
  <w:num w:numId="20">
    <w:abstractNumId w:val="19"/>
  </w:num>
  <w:num w:numId="21">
    <w:abstractNumId w:val="21"/>
  </w:num>
  <w:num w:numId="22">
    <w:abstractNumId w:val="1"/>
  </w:num>
  <w:num w:numId="23">
    <w:abstractNumId w:val="25"/>
  </w:num>
  <w:num w:numId="24">
    <w:abstractNumId w:val="4"/>
  </w:num>
  <w:num w:numId="25">
    <w:abstractNumId w:val="1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5FE2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A5FE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A5FE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2BD00C7-7DD3-4589-8F70-B00142DA6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2026-08-28T00:20:00Z</dcterms:created>
  <dcterms:modified xsi:type="dcterms:W3CDTF">2026-08-28T00:20:00Z</dcterms:modified>
</cp:coreProperties>
</file>