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BE6CACD" w:rsidR="0049405C" w:rsidRPr="00C24D79" w:rsidRDefault="00017B53" w:rsidP="00017B53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017B53">
              <w:rPr>
                <w:rFonts w:ascii="等线" w:eastAsia="等线" w:hAnsi="Times New Roman"/>
                <w:b/>
                <w:color w:val="000000"/>
                <w:sz w:val="48"/>
              </w:rPr>
              <w:t>YVONNE GAN</w:t>
            </w:r>
            <w:bookmarkEnd w:id="0"/>
          </w:p>
          <w:p w14:paraId="706EB16B" w14:textId="7FFEDBCE" w:rsidR="0049405C" w:rsidRPr="00C24D79" w:rsidRDefault="00017B53" w:rsidP="00017B53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017B53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017B53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017B53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F437D05" w:rsidR="0049405C" w:rsidRPr="00C24D79" w:rsidRDefault="00017B53" w:rsidP="00017B53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017B53">
              <w:rPr>
                <w:rFonts w:ascii="等线" w:eastAsia="等线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0B202D85" w:rsidR="0049405C" w:rsidRPr="00C24D79" w:rsidRDefault="00017B53" w:rsidP="00017B53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017B53">
              <w:rPr>
                <w:rFonts w:ascii="等线" w:eastAsia="等线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D2226E7" w:rsidR="0049405C" w:rsidRPr="00C24D79" w:rsidRDefault="00017B53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523B58DD" wp14:editId="5C8C656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C7EEECD" w:rsidR="009465FB" w:rsidRPr="00C24D79" w:rsidRDefault="00017B53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017B53">
              <w:rPr>
                <w:rFonts w:ascii="等线" w:eastAsia="等线" w:hAnsi="Times New Roman"/>
                <w:color w:val="000000"/>
                <w:szCs w:val="21"/>
              </w:rPr>
              <w:t>MS. GAN SPECIALIZES IN ONSHORE AND OFFSHORE OFFERINGS AND IN SECURITIES LISTINGS, M&amp;A, PRIVATE EQUITY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14793BA" w14:textId="77777777" w:rsidR="00017B53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FDBA075" w14:textId="77777777" w:rsidR="00017B53" w:rsidRDefault="00017B53" w:rsidP="00017B5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7B53">
        <w:rPr>
          <w:rFonts w:ascii="等线" w:eastAsia="等线" w:hAnsi="等线"/>
          <w:b/>
          <w:sz w:val="24"/>
        </w:rPr>
        <w:t>REPRESENTATIVE MATTERS AND CASES</w:t>
      </w:r>
    </w:p>
    <w:p w14:paraId="0DB978BE" w14:textId="77777777" w:rsidR="00017B53" w:rsidRDefault="00017B53" w:rsidP="00017B53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90D1165" w14:textId="77777777" w:rsidR="00017B53" w:rsidRDefault="00017B53" w:rsidP="00017B53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Advanced Micro-Fabrication Equipment Inc. China (688012.SH) in its A-share IPO and listing on the Shanghai Stock Exchange</w:t>
      </w:r>
      <w:r w:rsidRPr="00017B53">
        <w:rPr>
          <w:rFonts w:ascii="等线" w:eastAsia="等线" w:hAnsi="Times New Roman"/>
          <w:color w:val="000000"/>
        </w:rPr>
        <w:t>’</w:t>
      </w:r>
      <w:r w:rsidRPr="00017B53">
        <w:rPr>
          <w:rFonts w:ascii="等线" w:eastAsia="等线" w:hAnsi="Times New Roman"/>
          <w:color w:val="000000"/>
        </w:rPr>
        <w:t>s STAR market</w:t>
      </w:r>
    </w:p>
    <w:p w14:paraId="7445981A" w14:textId="77777777" w:rsidR="00017B53" w:rsidRDefault="00017B53" w:rsidP="00017B53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VeriSilicon Microelectronics (Shanghai) Co., Ltd. (688521.SH) in its A-share IPO and listing on the Shanghai Stock Exchange STAR market</w:t>
      </w:r>
    </w:p>
    <w:p w14:paraId="041EDDD8" w14:textId="77777777" w:rsidR="00017B53" w:rsidRDefault="00017B53" w:rsidP="00017B53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017B53">
        <w:rPr>
          <w:rFonts w:ascii="等线" w:eastAsia="等线" w:hAnsi="Times New Roman"/>
          <w:color w:val="000000"/>
        </w:rPr>
        <w:t>’</w:t>
      </w:r>
      <w:r w:rsidRPr="00017B53">
        <w:rPr>
          <w:rFonts w:ascii="等线" w:eastAsia="等线" w:hAnsi="Times New Roman"/>
          <w:color w:val="000000"/>
        </w:rPr>
        <w:t>s A-share IPO and listing on the Shenzhen Stock Exchange ChiNext Market</w:t>
      </w:r>
    </w:p>
    <w:p w14:paraId="61303326" w14:textId="77777777" w:rsidR="00017B53" w:rsidRDefault="00017B53" w:rsidP="00017B53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Guangdong Lingxiao Pump Industry Co., Ltd. (002884.SZ) in its A-share IPO and listing on the Shenzhen Stock Exchange SME Board</w:t>
      </w:r>
    </w:p>
    <w:p w14:paraId="27D32F8F" w14:textId="77777777" w:rsidR="00017B53" w:rsidRDefault="00017B53" w:rsidP="00017B53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WuXi Apptec Co., Ltd. (603259.SH/02359.HK) in its H-share IPO and listing on the Hong Kong Stock Exchange</w:t>
      </w:r>
    </w:p>
    <w:p w14:paraId="6A3560F2" w14:textId="77777777" w:rsidR="00017B53" w:rsidRDefault="00017B53" w:rsidP="00017B53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WuXi Apptec Co., Ltd. (603259.SH/02359.HK) in its non-public issuance of A shares</w:t>
      </w:r>
    </w:p>
    <w:p w14:paraId="6DBC1E69" w14:textId="77777777" w:rsidR="00017B53" w:rsidRDefault="00017B53" w:rsidP="00017B53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WuXi Apptec Co., Ltd. (603259.SH/02359.HK) in its placing new H shares</w:t>
      </w:r>
    </w:p>
    <w:p w14:paraId="0C11FBB8" w14:textId="77777777" w:rsidR="00017B53" w:rsidRDefault="00017B53" w:rsidP="00017B53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Shenzhen Kaifa Technology Co., Ltd. (000021.SZ) in its non-public issuance of A shares</w:t>
      </w:r>
    </w:p>
    <w:p w14:paraId="4A4362A9" w14:textId="77777777" w:rsidR="00017B53" w:rsidRDefault="00017B53" w:rsidP="00017B53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the sponsor and underwriter in connection with Maxscend Microelectronics Company Limited (300782.SZ)</w:t>
      </w:r>
      <w:r w:rsidRPr="00017B53">
        <w:rPr>
          <w:rFonts w:ascii="等线" w:eastAsia="等线" w:hAnsi="Times New Roman"/>
          <w:color w:val="000000"/>
        </w:rPr>
        <w:t>’</w:t>
      </w:r>
      <w:r w:rsidRPr="00017B53">
        <w:rPr>
          <w:rFonts w:ascii="等线" w:eastAsia="等线" w:hAnsi="Times New Roman"/>
          <w:color w:val="000000"/>
        </w:rPr>
        <w:t>s non-public issuance of A shares</w:t>
      </w:r>
    </w:p>
    <w:p w14:paraId="09D40CEA" w14:textId="77777777" w:rsidR="00017B53" w:rsidRDefault="00017B53" w:rsidP="00017B53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WuXi Apptec Co., Ltd. (603259.SH/02359.HK) in its issuance of convertible bonds related to H shares</w:t>
      </w:r>
    </w:p>
    <w:p w14:paraId="77EAA681" w14:textId="77777777" w:rsidR="00017B53" w:rsidRDefault="00017B53" w:rsidP="00017B53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China South Industries Group Co., Ltd. in its issuance of corporate bonds and exchangeable bonds</w:t>
      </w:r>
    </w:p>
    <w:p w14:paraId="39669450" w14:textId="77777777" w:rsidR="00017B53" w:rsidRDefault="00017B53" w:rsidP="00017B53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COFCO W&amp;W in its equity financing</w:t>
      </w:r>
    </w:p>
    <w:p w14:paraId="01E22538" w14:textId="77777777" w:rsidR="00017B53" w:rsidRDefault="00017B53" w:rsidP="00017B53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Insights Capital in its investment in ROKAE</w:t>
      </w:r>
    </w:p>
    <w:p w14:paraId="7B5E1026" w14:textId="77777777" w:rsidR="00017B53" w:rsidRDefault="00017B53" w:rsidP="00017B53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Cowealth Medical China Co., Ltd. in its multiple rounds of pre-IPO equity financing</w:t>
      </w:r>
    </w:p>
    <w:p w14:paraId="0BFF1516" w14:textId="77777777" w:rsidR="00017B53" w:rsidRDefault="00017B53" w:rsidP="00017B53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Advanced Micro-Fabrication Equipment Inc. China (688012.SH) in its onshore and offshore restructuring</w:t>
      </w:r>
    </w:p>
    <w:p w14:paraId="1298EA3D" w14:textId="77777777" w:rsidR="00017B53" w:rsidRDefault="00017B53" w:rsidP="00017B53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Zhuhai NewiKou Science &amp; Technology Co., Ltd. (834068) in its issuance of new shares as payment for acquiring equity in Sichuan Huicheng Hospital &amp; Healthcare Management Co., Ltd.</w:t>
      </w:r>
    </w:p>
    <w:p w14:paraId="635C278E" w14:textId="77777777" w:rsidR="00017B53" w:rsidRDefault="00017B53" w:rsidP="00017B53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HanKore Environment Tech Group Ltd. (U9E.SEG) in its issuance of new shares as payment for acquiring the water treatment assets of China Everbright International Limited (00257.HK)</w:t>
      </w:r>
    </w:p>
    <w:p w14:paraId="0A431D4F" w14:textId="77777777" w:rsidR="00017B53" w:rsidRDefault="00017B53" w:rsidP="00017B53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SF Express in its first round of equity financing</w:t>
      </w:r>
    </w:p>
    <w:p w14:paraId="081AFB0B" w14:textId="77777777" w:rsidR="00017B53" w:rsidRDefault="00017B53" w:rsidP="00017B53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Represented Beijing International Trust in connection with several trust projects</w:t>
      </w:r>
    </w:p>
    <w:p w14:paraId="31A5D960" w14:textId="77777777" w:rsidR="00017B53" w:rsidRDefault="00017B53" w:rsidP="00017B53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Acted as legal consultant for VeriSilicon Microelectronics (Shanghai) Co., Ltd. (688521.SH), WuXi Apptec Co., Ltd (603259.SH/02359.HK), etc.</w:t>
      </w:r>
    </w:p>
    <w:p w14:paraId="51A12A3B" w14:textId="77777777" w:rsidR="00017B53" w:rsidRDefault="00017B53" w:rsidP="00017B5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7B53">
        <w:rPr>
          <w:rFonts w:ascii="等线" w:eastAsia="等线" w:hAnsi="等线"/>
          <w:b/>
          <w:sz w:val="24"/>
        </w:rPr>
        <w:t>Education</w:t>
      </w:r>
    </w:p>
    <w:p w14:paraId="666CEA70" w14:textId="77777777" w:rsidR="00017B53" w:rsidRDefault="00017B53" w:rsidP="00017B53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China University of Political Science and Law, LL.M.</w:t>
      </w:r>
    </w:p>
    <w:p w14:paraId="5D05A9DB" w14:textId="77777777" w:rsidR="00017B53" w:rsidRDefault="00017B53" w:rsidP="00017B53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China University of Political Science and Law, LL.B.</w:t>
      </w:r>
    </w:p>
    <w:p w14:paraId="551A4C63" w14:textId="77777777" w:rsidR="00017B53" w:rsidRDefault="00017B53" w:rsidP="00017B5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7B53">
        <w:rPr>
          <w:rFonts w:ascii="等线" w:eastAsia="等线" w:hAnsi="等线"/>
          <w:b/>
          <w:sz w:val="24"/>
        </w:rPr>
        <w:t>Professional Qualification</w:t>
      </w:r>
    </w:p>
    <w:p w14:paraId="2A6309DB" w14:textId="77777777" w:rsidR="00017B53" w:rsidRDefault="00017B53" w:rsidP="00017B53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Admitted to practice in the PRC</w:t>
      </w:r>
    </w:p>
    <w:p w14:paraId="1C8A60CD" w14:textId="77777777" w:rsidR="00017B53" w:rsidRDefault="00017B53" w:rsidP="00017B53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017B53">
        <w:rPr>
          <w:rFonts w:ascii="等线" w:eastAsia="等线" w:hAnsi="等线"/>
          <w:b/>
          <w:sz w:val="24"/>
        </w:rPr>
        <w:t>Professional Background</w:t>
      </w:r>
    </w:p>
    <w:p w14:paraId="5567FC3C" w14:textId="03B06B59" w:rsidR="00686369" w:rsidRPr="00017B53" w:rsidRDefault="00017B53" w:rsidP="00017B53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017B53">
        <w:rPr>
          <w:rFonts w:ascii="等线" w:eastAsia="等线" w:hAnsi="Times New Roman"/>
          <w:color w:val="000000"/>
        </w:rPr>
        <w:t>Ms. Gan joined Fangda in 2018. Before joining the firm, she worked at other first-tier PRC law firms in Beijing.</w:t>
      </w:r>
    </w:p>
    <w:sectPr w:rsidR="00686369" w:rsidRPr="00017B5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96B12"/>
    <w:multiLevelType w:val="singleLevel"/>
    <w:tmpl w:val="016E56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7242AF1"/>
    <w:multiLevelType w:val="singleLevel"/>
    <w:tmpl w:val="44249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2E68D4"/>
    <w:multiLevelType w:val="singleLevel"/>
    <w:tmpl w:val="05723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9606B7"/>
    <w:multiLevelType w:val="singleLevel"/>
    <w:tmpl w:val="9B70A6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FC2880"/>
    <w:multiLevelType w:val="singleLevel"/>
    <w:tmpl w:val="EAA421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AC2140"/>
    <w:multiLevelType w:val="singleLevel"/>
    <w:tmpl w:val="3E1C03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15D519F"/>
    <w:multiLevelType w:val="singleLevel"/>
    <w:tmpl w:val="2C02AB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20C1253"/>
    <w:multiLevelType w:val="singleLevel"/>
    <w:tmpl w:val="908E0F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4AA78A9"/>
    <w:multiLevelType w:val="singleLevel"/>
    <w:tmpl w:val="6FB60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713746A"/>
    <w:multiLevelType w:val="singleLevel"/>
    <w:tmpl w:val="FDD8EF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321617"/>
    <w:multiLevelType w:val="singleLevel"/>
    <w:tmpl w:val="6D3AD2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D0C1B34"/>
    <w:multiLevelType w:val="singleLevel"/>
    <w:tmpl w:val="501487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C7D028D"/>
    <w:multiLevelType w:val="singleLevel"/>
    <w:tmpl w:val="F1DE6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D0C610F"/>
    <w:multiLevelType w:val="singleLevel"/>
    <w:tmpl w:val="B00C5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2FC97C22"/>
    <w:multiLevelType w:val="singleLevel"/>
    <w:tmpl w:val="4B709C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480709F3"/>
    <w:multiLevelType w:val="singleLevel"/>
    <w:tmpl w:val="2F82DA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E5262A"/>
    <w:multiLevelType w:val="singleLevel"/>
    <w:tmpl w:val="870EC4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A6B3094"/>
    <w:multiLevelType w:val="singleLevel"/>
    <w:tmpl w:val="5B3ED0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2B64455"/>
    <w:multiLevelType w:val="singleLevel"/>
    <w:tmpl w:val="395A91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2BC3929"/>
    <w:multiLevelType w:val="singleLevel"/>
    <w:tmpl w:val="3FCCD2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D7E5254"/>
    <w:multiLevelType w:val="singleLevel"/>
    <w:tmpl w:val="442493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0263334"/>
    <w:multiLevelType w:val="singleLevel"/>
    <w:tmpl w:val="9B72CC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AA0139"/>
    <w:multiLevelType w:val="singleLevel"/>
    <w:tmpl w:val="0FA47B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C093F67"/>
    <w:multiLevelType w:val="singleLevel"/>
    <w:tmpl w:val="ABA66B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D7D6FF1"/>
    <w:multiLevelType w:val="singleLevel"/>
    <w:tmpl w:val="950A3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4"/>
  </w:num>
  <w:num w:numId="2">
    <w:abstractNumId w:val="16"/>
  </w:num>
  <w:num w:numId="3">
    <w:abstractNumId w:val="21"/>
  </w:num>
  <w:num w:numId="4">
    <w:abstractNumId w:val="24"/>
  </w:num>
  <w:num w:numId="5">
    <w:abstractNumId w:val="2"/>
  </w:num>
  <w:num w:numId="6">
    <w:abstractNumId w:val="6"/>
  </w:num>
  <w:num w:numId="7">
    <w:abstractNumId w:val="11"/>
  </w:num>
  <w:num w:numId="8">
    <w:abstractNumId w:val="7"/>
  </w:num>
  <w:num w:numId="9">
    <w:abstractNumId w:val="10"/>
  </w:num>
  <w:num w:numId="10">
    <w:abstractNumId w:val="15"/>
  </w:num>
  <w:num w:numId="11">
    <w:abstractNumId w:val="12"/>
  </w:num>
  <w:num w:numId="12">
    <w:abstractNumId w:val="3"/>
  </w:num>
  <w:num w:numId="13">
    <w:abstractNumId w:val="23"/>
  </w:num>
  <w:num w:numId="14">
    <w:abstractNumId w:val="0"/>
  </w:num>
  <w:num w:numId="15">
    <w:abstractNumId w:val="13"/>
  </w:num>
  <w:num w:numId="16">
    <w:abstractNumId w:val="5"/>
  </w:num>
  <w:num w:numId="17">
    <w:abstractNumId w:val="4"/>
  </w:num>
  <w:num w:numId="18">
    <w:abstractNumId w:val="8"/>
  </w:num>
  <w:num w:numId="19">
    <w:abstractNumId w:val="18"/>
  </w:num>
  <w:num w:numId="20">
    <w:abstractNumId w:val="19"/>
  </w:num>
  <w:num w:numId="21">
    <w:abstractNumId w:val="25"/>
  </w:num>
  <w:num w:numId="22">
    <w:abstractNumId w:val="20"/>
  </w:num>
  <w:num w:numId="23">
    <w:abstractNumId w:val="17"/>
  </w:num>
  <w:num w:numId="24">
    <w:abstractNumId w:val="26"/>
  </w:num>
  <w:num w:numId="25">
    <w:abstractNumId w:val="9"/>
  </w:num>
  <w:num w:numId="26">
    <w:abstractNumId w:val="2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17B53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17B5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17B5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1D1380-73B5-45F4-B2C6-724AF1234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442</Words>
  <Characters>2520</Characters>
  <Application>Microsoft Office Word</Application>
  <DocSecurity>0</DocSecurity>
  <Lines>21</Lines>
  <Paragraphs>5</Paragraphs>
  <ScaleCrop>false</ScaleCrop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2026-07-16T13:30:00Z</dcterms:created>
  <dcterms:modified xsi:type="dcterms:W3CDTF">2026-07-16T13:30:00Z</dcterms:modified>
</cp:coreProperties>
</file>