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A5157FF" w:rsidR="0049405C" w:rsidRPr="00C24D79" w:rsidRDefault="00FE2442" w:rsidP="00FE244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E2442">
              <w:rPr>
                <w:rFonts w:ascii="等线" w:eastAsia="等线" w:hAnsi="Times New Roman"/>
                <w:b/>
                <w:color w:val="000000"/>
                <w:sz w:val="48"/>
              </w:rPr>
              <w:t>RAY XU</w:t>
            </w:r>
            <w:bookmarkEnd w:id="0"/>
          </w:p>
          <w:p w14:paraId="706EB16B" w14:textId="2DA9B957" w:rsidR="0049405C" w:rsidRPr="00C24D79" w:rsidRDefault="00FE2442" w:rsidP="00FE244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E244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E244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E244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3380111" w:rsidR="0049405C" w:rsidRPr="00C24D79" w:rsidRDefault="00FE2442" w:rsidP="00FE244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E2442">
              <w:rPr>
                <w:rFonts w:ascii="等线" w:eastAsia="等线" w:hAnsi="Times New Roman"/>
                <w:color w:val="000000"/>
              </w:rPr>
              <w:t xml:space="preserve">+86 10 5769 5704 </w:t>
            </w:r>
            <w:bookmarkEnd w:id="3"/>
          </w:p>
          <w:p w14:paraId="4F910ACA" w14:textId="768DC76F" w:rsidR="0049405C" w:rsidRPr="00C24D79" w:rsidRDefault="00FE2442" w:rsidP="00FE244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E2442">
              <w:rPr>
                <w:rFonts w:ascii="等线" w:eastAsia="等线" w:hAnsi="Times New Roman"/>
                <w:color w:val="000000"/>
              </w:rPr>
              <w:t>ray.xu@fangdalaw.com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6328684" w:rsidR="0049405C" w:rsidRPr="00C24D79" w:rsidRDefault="00FE244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B5F2DA0" wp14:editId="57C3CCE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828DA7F" w:rsidR="009465FB" w:rsidRPr="00C24D79" w:rsidRDefault="00FE244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E2442">
              <w:rPr>
                <w:rFonts w:ascii="等线" w:eastAsia="等线" w:hAnsi="Times New Roman"/>
                <w:color w:val="000000"/>
                <w:szCs w:val="21"/>
              </w:rPr>
              <w:t>MR. XU SPECIALIZES IN CORPORATE FINANCE, INCLUDING M&amp;A, PRIVATE EQUITY INVESTMENT, CAPITAL MARKETS,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4159414" w14:textId="77777777" w:rsidR="00FE244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56F0CB9" w14:textId="77777777" w:rsidR="00FE2442" w:rsidRDefault="00FE2442" w:rsidP="00FE24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2442">
        <w:rPr>
          <w:rFonts w:ascii="等线" w:eastAsia="等线" w:hAnsi="等线"/>
          <w:b/>
          <w:sz w:val="24"/>
        </w:rPr>
        <w:t>REPRESENTATIVE MATTERS AND CASES</w:t>
      </w:r>
    </w:p>
    <w:p w14:paraId="1AE17D72" w14:textId="77777777" w:rsidR="00FE2442" w:rsidRDefault="00FE2442" w:rsidP="00FE2442">
      <w:pPr>
        <w:pStyle w:val="af5"/>
        <w:spacing w:before="12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M&amp;A AND PRIVATE EQUITY</w:t>
      </w:r>
    </w:p>
    <w:p w14:paraId="5BD7F051" w14:textId="77777777" w:rsidR="00FE2442" w:rsidRDefault="00FE2442" w:rsidP="00FE244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Zoomlion in the sale of its environmental business</w:t>
      </w:r>
    </w:p>
    <w:p w14:paraId="47153675" w14:textId="77777777" w:rsidR="00FE2442" w:rsidRDefault="00FE2442" w:rsidP="00FE244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Primavera in various investment and exit deals, including investments in China and COSMX</w:t>
      </w:r>
    </w:p>
    <w:p w14:paraId="377093EE" w14:textId="77777777" w:rsidR="00FE2442" w:rsidRDefault="00FE2442" w:rsidP="00FE244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KKR in its acquisition of NVC Lighting</w:t>
      </w:r>
    </w:p>
    <w:p w14:paraId="4C5F6129" w14:textId="77777777" w:rsidR="00FE2442" w:rsidRDefault="00FE2442" w:rsidP="00FE244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CRHC in its acquisition of Dagong Credit</w:t>
      </w:r>
    </w:p>
    <w:p w14:paraId="55EA12C5" w14:textId="77777777" w:rsidR="00FE2442" w:rsidRDefault="00FE2442" w:rsidP="00FE244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ChemChina in its acquisition of Syngenta</w:t>
      </w:r>
    </w:p>
    <w:p w14:paraId="6FF397AB" w14:textId="77777777" w:rsidR="00FE2442" w:rsidRDefault="00FE2442" w:rsidP="00FE244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China IC Industry Investment Fund in its investment in various integrated circuit companies, including GOODIX</w:t>
      </w:r>
    </w:p>
    <w:p w14:paraId="2F6E0676" w14:textId="77777777" w:rsidR="00FE2442" w:rsidRDefault="00FE2442" w:rsidP="00FE244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Taikang Insurance in various exit deals and outbound investments, including investments in funds managed by Blackstone and GLP</w:t>
      </w:r>
    </w:p>
    <w:p w14:paraId="6C11D283" w14:textId="77777777" w:rsidR="00FE2442" w:rsidRDefault="00FE2442" w:rsidP="00FE244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Ali Pictures in its acquisition of various theater chains</w:t>
      </w:r>
    </w:p>
    <w:p w14:paraId="6C55AF20" w14:textId="77777777" w:rsidR="00FE2442" w:rsidRDefault="00FE2442" w:rsidP="00FE244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AEP in its acquisition of JML Food Co., Ltd. and Landseed hospital in Shanghai</w:t>
      </w:r>
    </w:p>
    <w:p w14:paraId="4B875141" w14:textId="77777777" w:rsidR="00FE2442" w:rsidRDefault="00FE2442" w:rsidP="00FE244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CITIC Agriculture Fund in its investment in Molbreeding</w:t>
      </w:r>
    </w:p>
    <w:p w14:paraId="1AF6F8F3" w14:textId="77777777" w:rsidR="00FE2442" w:rsidRDefault="00FE2442" w:rsidP="00FE244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China Orient Asset Management Co., Ltd in various domestic equity investment deals</w:t>
      </w:r>
    </w:p>
    <w:p w14:paraId="4C1A73D5" w14:textId="77777777" w:rsidR="00FE2442" w:rsidRDefault="00FE2442" w:rsidP="00FE2442">
      <w:pPr>
        <w:pStyle w:val="af5"/>
        <w:spacing w:before="12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CAPITAL MARKETS</w:t>
      </w:r>
    </w:p>
    <w:p w14:paraId="068BD87C" w14:textId="77777777" w:rsidR="00FE2442" w:rsidRDefault="00FE2442" w:rsidP="00FE244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Representing sponsor CICC in connection with GAC Group</w:t>
      </w:r>
      <w:r w:rsidRPr="00FE2442">
        <w:rPr>
          <w:rFonts w:ascii="等线" w:eastAsia="等线" w:hAnsi="Times New Roman"/>
          <w:color w:val="000000"/>
        </w:rPr>
        <w:t>’</w:t>
      </w:r>
      <w:r w:rsidRPr="00FE2442">
        <w:rPr>
          <w:rFonts w:ascii="等线" w:eastAsia="等线" w:hAnsi="Times New Roman"/>
          <w:color w:val="000000"/>
        </w:rPr>
        <w:t>s private placement of A shares</w:t>
      </w:r>
    </w:p>
    <w:p w14:paraId="71C4E0C9" w14:textId="77777777" w:rsidR="00FE2442" w:rsidRDefault="00FE2442" w:rsidP="00FE244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Ant Group in its IPO on the STAR Board and the Hong Kong Stock Exchange</w:t>
      </w:r>
    </w:p>
    <w:p w14:paraId="4BCD0061" w14:textId="77777777" w:rsidR="00FE2442" w:rsidRDefault="00FE2442" w:rsidP="00FE244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Alibaba in its IPO on the HKEX</w:t>
      </w:r>
    </w:p>
    <w:p w14:paraId="2E96A8F9" w14:textId="77777777" w:rsidR="00FE2442" w:rsidRDefault="00FE2442" w:rsidP="00FE244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Represents Zoomlion in its private placement and various bond issuances</w:t>
      </w:r>
    </w:p>
    <w:p w14:paraId="27EF3410" w14:textId="77777777" w:rsidR="00FE2442" w:rsidRDefault="00FE2442" w:rsidP="00FE244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financial advisor CICC in connection with Minjiang Hydropower</w:t>
      </w:r>
      <w:r w:rsidRPr="00FE2442">
        <w:rPr>
          <w:rFonts w:ascii="等线" w:eastAsia="等线" w:hAnsi="Times New Roman"/>
          <w:color w:val="000000"/>
        </w:rPr>
        <w:t>’</w:t>
      </w:r>
      <w:r w:rsidRPr="00FE2442">
        <w:rPr>
          <w:rFonts w:ascii="等线" w:eastAsia="等线" w:hAnsi="Times New Roman"/>
          <w:color w:val="000000"/>
        </w:rPr>
        <w:t>s</w:t>
      </w:r>
      <w:r w:rsidRPr="00FE2442">
        <w:rPr>
          <w:rFonts w:ascii="等线" w:eastAsia="等线" w:hAnsi="Times New Roman"/>
          <w:color w:val="000000"/>
        </w:rPr>
        <w:t> </w:t>
      </w:r>
      <w:r w:rsidRPr="00FE2442">
        <w:rPr>
          <w:rFonts w:ascii="等线" w:eastAsia="等线" w:hAnsi="Times New Roman"/>
          <w:color w:val="000000"/>
        </w:rPr>
        <w:t xml:space="preserve"> </w:t>
      </w:r>
      <w:r w:rsidRPr="00FE2442">
        <w:rPr>
          <w:rFonts w:ascii="等线" w:eastAsia="等线" w:hAnsi="Times New Roman"/>
          <w:color w:val="000000"/>
        </w:rPr>
        <w:t>“</w:t>
      </w:r>
      <w:r w:rsidRPr="00FE2442">
        <w:rPr>
          <w:rFonts w:ascii="等线" w:eastAsia="等线" w:hAnsi="Times New Roman"/>
          <w:color w:val="000000"/>
        </w:rPr>
        <w:t>stock for asset</w:t>
      </w:r>
      <w:r w:rsidRPr="00FE2442">
        <w:rPr>
          <w:rFonts w:ascii="等线" w:eastAsia="等线" w:hAnsi="Times New Roman"/>
          <w:color w:val="000000"/>
        </w:rPr>
        <w:t>”</w:t>
      </w:r>
      <w:r w:rsidRPr="00FE2442">
        <w:rPr>
          <w:rFonts w:ascii="等线" w:eastAsia="等线" w:hAnsi="Times New Roman"/>
          <w:color w:val="000000"/>
        </w:rPr>
        <w:t xml:space="preserve"> deal with State Grid Information &amp; Telecommunication Group</w:t>
      </w:r>
    </w:p>
    <w:p w14:paraId="1A2D3A50" w14:textId="77777777" w:rsidR="00FE2442" w:rsidRDefault="00FE2442" w:rsidP="00FE244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financial advisor CICC in connection with Yunan Baiyao</w:t>
      </w:r>
      <w:r w:rsidRPr="00FE2442">
        <w:rPr>
          <w:rFonts w:ascii="等线" w:eastAsia="等线" w:hAnsi="Times New Roman"/>
          <w:color w:val="000000"/>
        </w:rPr>
        <w:t>’</w:t>
      </w:r>
      <w:r w:rsidRPr="00FE2442">
        <w:rPr>
          <w:rFonts w:ascii="等线" w:eastAsia="等线" w:hAnsi="Times New Roman"/>
          <w:color w:val="000000"/>
        </w:rPr>
        <w:t>s reverse merger with its controlling shareholder</w:t>
      </w:r>
    </w:p>
    <w:p w14:paraId="75BA899F" w14:textId="77777777" w:rsidR="00FE2442" w:rsidRDefault="00FE2442" w:rsidP="00FE244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 xml:space="preserve">Represented Blue Sail Co., Ltd. in its acquisition of Biosensors Group through a </w:t>
      </w:r>
      <w:r w:rsidRPr="00FE2442">
        <w:rPr>
          <w:rFonts w:ascii="等线" w:eastAsia="等线" w:hAnsi="Times New Roman"/>
          <w:color w:val="000000"/>
        </w:rPr>
        <w:t>“</w:t>
      </w:r>
      <w:r w:rsidRPr="00FE2442">
        <w:rPr>
          <w:rFonts w:ascii="等线" w:eastAsia="等线" w:hAnsi="Times New Roman"/>
          <w:color w:val="000000"/>
        </w:rPr>
        <w:t>stock for asset</w:t>
      </w:r>
      <w:r w:rsidRPr="00FE2442">
        <w:rPr>
          <w:rFonts w:ascii="等线" w:eastAsia="等线" w:hAnsi="Times New Roman"/>
          <w:color w:val="000000"/>
        </w:rPr>
        <w:t>”</w:t>
      </w:r>
      <w:r w:rsidRPr="00FE2442">
        <w:rPr>
          <w:rFonts w:ascii="等线" w:eastAsia="等线" w:hAnsi="Times New Roman"/>
          <w:color w:val="000000"/>
        </w:rPr>
        <w:t xml:space="preserve"> deal</w:t>
      </w:r>
    </w:p>
    <w:p w14:paraId="5CC66237" w14:textId="77777777" w:rsidR="00FE2442" w:rsidRDefault="00FE2442" w:rsidP="00FE244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financial advisor CICC in connection with Shenhua Group</w:t>
      </w:r>
      <w:r w:rsidRPr="00FE2442">
        <w:rPr>
          <w:rFonts w:ascii="等线" w:eastAsia="等线" w:hAnsi="Times New Roman"/>
          <w:color w:val="000000"/>
        </w:rPr>
        <w:t>’</w:t>
      </w:r>
      <w:r w:rsidRPr="00FE2442">
        <w:rPr>
          <w:rFonts w:ascii="等线" w:eastAsia="等线" w:hAnsi="Times New Roman"/>
          <w:color w:val="000000"/>
        </w:rPr>
        <w:t>s merger with Guodian Group</w:t>
      </w:r>
    </w:p>
    <w:p w14:paraId="4E7D6E94" w14:textId="77777777" w:rsidR="00FE2442" w:rsidRDefault="00FE2442" w:rsidP="00FE244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Baosteel Co., Ltd. in its merger with Wuhan Steel Co., Ltd.</w:t>
      </w:r>
    </w:p>
    <w:p w14:paraId="663804D8" w14:textId="77777777" w:rsidR="00FE2442" w:rsidRDefault="00FE2442" w:rsidP="00FE244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Represented Wuxi AppTec Co. Ltd. in its domestic IPO</w:t>
      </w:r>
    </w:p>
    <w:p w14:paraId="1696E3FC" w14:textId="77777777" w:rsidR="00FE2442" w:rsidRDefault="00FE2442" w:rsidP="00FE24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2442">
        <w:rPr>
          <w:rFonts w:ascii="等线" w:eastAsia="等线" w:hAnsi="等线"/>
          <w:b/>
          <w:sz w:val="24"/>
        </w:rPr>
        <w:t>Education</w:t>
      </w:r>
    </w:p>
    <w:p w14:paraId="5E407767" w14:textId="77777777" w:rsidR="00FE2442" w:rsidRDefault="00FE2442" w:rsidP="00FE244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Peking University School of Law, LL.B. (2013) and LL.M. (2015)</w:t>
      </w:r>
    </w:p>
    <w:p w14:paraId="3C151D81" w14:textId="77777777" w:rsidR="00FE2442" w:rsidRDefault="00FE2442" w:rsidP="00FE244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Peking University National School of Development, B.S. in Economics (2013)</w:t>
      </w:r>
    </w:p>
    <w:p w14:paraId="3D896C12" w14:textId="77777777" w:rsidR="00FE2442" w:rsidRDefault="00FE2442" w:rsidP="00FE24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2442">
        <w:rPr>
          <w:rFonts w:ascii="等线" w:eastAsia="等线" w:hAnsi="等线"/>
          <w:b/>
          <w:sz w:val="24"/>
        </w:rPr>
        <w:t>Professional Qualification</w:t>
      </w:r>
    </w:p>
    <w:p w14:paraId="7FB746FB" w14:textId="77777777" w:rsidR="00FE2442" w:rsidRDefault="00FE2442" w:rsidP="00FE244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Admitted to practice in the PRC</w:t>
      </w:r>
    </w:p>
    <w:p w14:paraId="5573C9D6" w14:textId="77777777" w:rsidR="00FE2442" w:rsidRDefault="00FE2442" w:rsidP="00FE24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2442">
        <w:rPr>
          <w:rFonts w:ascii="等线" w:eastAsia="等线" w:hAnsi="等线"/>
          <w:b/>
          <w:sz w:val="24"/>
        </w:rPr>
        <w:t>Professional Background</w:t>
      </w:r>
    </w:p>
    <w:p w14:paraId="5567FC3C" w14:textId="5612EEEF" w:rsidR="00686369" w:rsidRPr="00FE2442" w:rsidRDefault="00FE2442" w:rsidP="00FE244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2442">
        <w:rPr>
          <w:rFonts w:ascii="等线" w:eastAsia="等线" w:hAnsi="Times New Roman"/>
          <w:color w:val="000000"/>
        </w:rPr>
        <w:t>Mr. Xu joined Fangda in 2015.</w:t>
      </w:r>
    </w:p>
    <w:sectPr w:rsidR="00686369" w:rsidRPr="00FE244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E149B"/>
    <w:multiLevelType w:val="singleLevel"/>
    <w:tmpl w:val="04F44E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BE6D6A"/>
    <w:multiLevelType w:val="singleLevel"/>
    <w:tmpl w:val="21E80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401D49"/>
    <w:multiLevelType w:val="singleLevel"/>
    <w:tmpl w:val="2FDC7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023066"/>
    <w:multiLevelType w:val="singleLevel"/>
    <w:tmpl w:val="EFE6D5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BC6831"/>
    <w:multiLevelType w:val="singleLevel"/>
    <w:tmpl w:val="34945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28F04E2"/>
    <w:multiLevelType w:val="singleLevel"/>
    <w:tmpl w:val="F3209A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647E60"/>
    <w:multiLevelType w:val="singleLevel"/>
    <w:tmpl w:val="DBC821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C086D01"/>
    <w:multiLevelType w:val="singleLevel"/>
    <w:tmpl w:val="E9B44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6B16653"/>
    <w:multiLevelType w:val="singleLevel"/>
    <w:tmpl w:val="DD664A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92C0907"/>
    <w:multiLevelType w:val="singleLevel"/>
    <w:tmpl w:val="17ECFE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157E67"/>
    <w:multiLevelType w:val="singleLevel"/>
    <w:tmpl w:val="5EC8A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627D4C"/>
    <w:multiLevelType w:val="singleLevel"/>
    <w:tmpl w:val="45E825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CE85C14"/>
    <w:multiLevelType w:val="singleLevel"/>
    <w:tmpl w:val="74DC78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16B5F56"/>
    <w:multiLevelType w:val="singleLevel"/>
    <w:tmpl w:val="071046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2515F52"/>
    <w:multiLevelType w:val="singleLevel"/>
    <w:tmpl w:val="5986C7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4DC7ED1"/>
    <w:multiLevelType w:val="singleLevel"/>
    <w:tmpl w:val="938C05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6FE3AA9"/>
    <w:multiLevelType w:val="singleLevel"/>
    <w:tmpl w:val="66DEE7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8287258"/>
    <w:multiLevelType w:val="singleLevel"/>
    <w:tmpl w:val="AE0477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EBF47E3"/>
    <w:multiLevelType w:val="singleLevel"/>
    <w:tmpl w:val="5EC8A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AC909F9"/>
    <w:multiLevelType w:val="singleLevel"/>
    <w:tmpl w:val="D5884F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C224F8F"/>
    <w:multiLevelType w:val="singleLevel"/>
    <w:tmpl w:val="FCCA62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D750D0B"/>
    <w:multiLevelType w:val="singleLevel"/>
    <w:tmpl w:val="EEFA6D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E35709F"/>
    <w:multiLevelType w:val="singleLevel"/>
    <w:tmpl w:val="C4BCD9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FE76DDD"/>
    <w:multiLevelType w:val="singleLevel"/>
    <w:tmpl w:val="12E8C7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14E3BA1"/>
    <w:multiLevelType w:val="singleLevel"/>
    <w:tmpl w:val="8C94A0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B0D6AFB"/>
    <w:multiLevelType w:val="singleLevel"/>
    <w:tmpl w:val="F9608D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3"/>
  </w:num>
  <w:num w:numId="3">
    <w:abstractNumId w:val="10"/>
  </w:num>
  <w:num w:numId="4">
    <w:abstractNumId w:val="26"/>
  </w:num>
  <w:num w:numId="5">
    <w:abstractNumId w:val="14"/>
  </w:num>
  <w:num w:numId="6">
    <w:abstractNumId w:val="22"/>
  </w:num>
  <w:num w:numId="7">
    <w:abstractNumId w:val="15"/>
  </w:num>
  <w:num w:numId="8">
    <w:abstractNumId w:val="5"/>
  </w:num>
  <w:num w:numId="9">
    <w:abstractNumId w:val="2"/>
  </w:num>
  <w:num w:numId="10">
    <w:abstractNumId w:val="21"/>
  </w:num>
  <w:num w:numId="11">
    <w:abstractNumId w:val="27"/>
  </w:num>
  <w:num w:numId="12">
    <w:abstractNumId w:val="23"/>
  </w:num>
  <w:num w:numId="13">
    <w:abstractNumId w:val="9"/>
  </w:num>
  <w:num w:numId="14">
    <w:abstractNumId w:val="18"/>
  </w:num>
  <w:num w:numId="15">
    <w:abstractNumId w:val="12"/>
  </w:num>
  <w:num w:numId="16">
    <w:abstractNumId w:val="16"/>
  </w:num>
  <w:num w:numId="17">
    <w:abstractNumId w:val="24"/>
  </w:num>
  <w:num w:numId="18">
    <w:abstractNumId w:val="1"/>
  </w:num>
  <w:num w:numId="19">
    <w:abstractNumId w:val="6"/>
  </w:num>
  <w:num w:numId="20">
    <w:abstractNumId w:val="19"/>
  </w:num>
  <w:num w:numId="21">
    <w:abstractNumId w:val="17"/>
  </w:num>
  <w:num w:numId="22">
    <w:abstractNumId w:val="0"/>
  </w:num>
  <w:num w:numId="23">
    <w:abstractNumId w:val="7"/>
  </w:num>
  <w:num w:numId="24">
    <w:abstractNumId w:val="3"/>
  </w:num>
  <w:num w:numId="25">
    <w:abstractNumId w:val="25"/>
  </w:num>
  <w:num w:numId="26">
    <w:abstractNumId w:val="4"/>
  </w:num>
  <w:num w:numId="27">
    <w:abstractNumId w:val="11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  <w:rsid w:val="00FE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E244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E244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D5AE32B-296E-483B-8D9A-BD695841F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2026-09-17T21:19:00Z</dcterms:created>
  <dcterms:modified xsi:type="dcterms:W3CDTF">2026-09-17T21:19:00Z</dcterms:modified>
</cp:coreProperties>
</file>