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CB4B7D7" w:rsidR="0049405C" w:rsidRPr="00C24D79" w:rsidRDefault="00801B02" w:rsidP="00801B0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01B02">
              <w:rPr>
                <w:rFonts w:ascii="等线" w:eastAsia="等线" w:hAnsi="Times New Roman"/>
                <w:b/>
                <w:color w:val="000000"/>
                <w:sz w:val="48"/>
              </w:rPr>
              <w:t>SHUWEN HU</w:t>
            </w:r>
            <w:bookmarkEnd w:id="0"/>
          </w:p>
          <w:p w14:paraId="706EB16B" w14:textId="5BFD65AE" w:rsidR="0049405C" w:rsidRPr="00C24D79" w:rsidRDefault="00801B02" w:rsidP="00801B0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01B0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01B0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01B0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332B55B" w:rsidR="0049405C" w:rsidRPr="00C24D79" w:rsidRDefault="00801B02" w:rsidP="00801B0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01B02">
              <w:rPr>
                <w:rFonts w:ascii="等线" w:eastAsia="等线" w:hAnsi="Times New Roman"/>
                <w:color w:val="000000"/>
              </w:rPr>
              <w:t xml:space="preserve">+86 21 6263 5921 </w:t>
            </w:r>
            <w:bookmarkEnd w:id="3"/>
          </w:p>
          <w:p w14:paraId="4F910ACA" w14:textId="6B64222C" w:rsidR="0049405C" w:rsidRPr="00C24D79" w:rsidRDefault="00801B02" w:rsidP="00801B0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01B02">
              <w:rPr>
                <w:rFonts w:ascii="等线" w:eastAsia="等线" w:hAnsi="Times New Roman"/>
                <w:color w:val="000000"/>
              </w:rPr>
              <w:t>shuwen.hu@fangdalaw.com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7C43625" w:rsidR="0049405C" w:rsidRPr="00C24D79" w:rsidRDefault="00801B0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D5DFAE3" wp14:editId="5802A8D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B7FE213" w:rsidR="009465FB" w:rsidRPr="00C24D79" w:rsidRDefault="00801B0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01B02">
              <w:rPr>
                <w:rFonts w:ascii="等线" w:eastAsia="等线" w:hAnsi="Times New Roman"/>
                <w:color w:val="000000"/>
                <w:szCs w:val="21"/>
              </w:rPr>
              <w:t>MS. HU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9F5B8E" w14:textId="77777777" w:rsidR="00801B0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505161" w14:textId="77777777" w:rsidR="00801B02" w:rsidRDefault="00801B02" w:rsidP="00801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1B02">
        <w:rPr>
          <w:rFonts w:ascii="等线" w:eastAsia="等线" w:hAnsi="等线"/>
          <w:b/>
          <w:sz w:val="24"/>
        </w:rPr>
        <w:t>REPRESENTATIVE MATTERS AND CASES</w:t>
      </w:r>
    </w:p>
    <w:p w14:paraId="663E5BB5" w14:textId="77777777" w:rsidR="00801B02" w:rsidRDefault="00801B02" w:rsidP="00801B0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05482FA" w14:textId="77777777" w:rsidR="00801B02" w:rsidRDefault="00801B02" w:rsidP="00801B0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Shanghai Fudan Zhangjiang Bio-Pharmaceutical in its A-share IPO on the STAR Market</w:t>
      </w:r>
    </w:p>
    <w:p w14:paraId="78210C77" w14:textId="77777777" w:rsidR="00801B02" w:rsidRDefault="00801B02" w:rsidP="00801B0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79CAB0D9" w14:textId="77777777" w:rsidR="00801B02" w:rsidRDefault="00801B02" w:rsidP="00801B0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Focusight (Jiangsu) Technology in its A-share IPO on the STAR Market</w:t>
      </w:r>
    </w:p>
    <w:p w14:paraId="4F490C40" w14:textId="77777777" w:rsidR="00801B02" w:rsidRDefault="00801B02" w:rsidP="00801B0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Acted as underwriter</w:t>
      </w:r>
      <w:r w:rsidRPr="00801B02">
        <w:rPr>
          <w:rFonts w:ascii="等线" w:eastAsia="等线" w:hAnsi="Times New Roman"/>
          <w:color w:val="000000"/>
        </w:rPr>
        <w:t>’</w:t>
      </w:r>
      <w:r w:rsidRPr="00801B02">
        <w:rPr>
          <w:rFonts w:ascii="等线" w:eastAsia="等线" w:hAnsi="Times New Roman"/>
          <w:color w:val="000000"/>
        </w:rPr>
        <w:t>s counsel in Shanghai New Centurion Network Information Technology</w:t>
      </w:r>
      <w:r w:rsidRPr="00801B02">
        <w:rPr>
          <w:rFonts w:ascii="等线" w:eastAsia="等线" w:hAnsi="Times New Roman"/>
          <w:color w:val="000000"/>
        </w:rPr>
        <w:t>’</w:t>
      </w:r>
      <w:r w:rsidRPr="00801B02">
        <w:rPr>
          <w:rFonts w:ascii="等线" w:eastAsia="等线" w:hAnsi="Times New Roman"/>
          <w:color w:val="000000"/>
        </w:rPr>
        <w:t>s A-share IPO</w:t>
      </w:r>
    </w:p>
    <w:p w14:paraId="6F01A189" w14:textId="77777777" w:rsidR="00801B02" w:rsidRDefault="00801B02" w:rsidP="00801B0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Acted as underwriter</w:t>
      </w:r>
      <w:r w:rsidRPr="00801B02">
        <w:rPr>
          <w:rFonts w:ascii="等线" w:eastAsia="等线" w:hAnsi="Times New Roman"/>
          <w:color w:val="000000"/>
        </w:rPr>
        <w:t>’</w:t>
      </w:r>
      <w:r w:rsidRPr="00801B02">
        <w:rPr>
          <w:rFonts w:ascii="等线" w:eastAsia="等线" w:hAnsi="Times New Roman"/>
          <w:color w:val="000000"/>
        </w:rPr>
        <w:t>s counsel in Hangzhou Raycloud Technology</w:t>
      </w:r>
      <w:r w:rsidRPr="00801B02">
        <w:rPr>
          <w:rFonts w:ascii="等线" w:eastAsia="等线" w:hAnsi="Times New Roman"/>
          <w:color w:val="000000"/>
        </w:rPr>
        <w:t>’</w:t>
      </w:r>
      <w:r w:rsidRPr="00801B02">
        <w:rPr>
          <w:rFonts w:ascii="等线" w:eastAsia="等线" w:hAnsi="Times New Roman"/>
          <w:color w:val="000000"/>
        </w:rPr>
        <w:t>s A-share IPO on the STAR Market</w:t>
      </w:r>
    </w:p>
    <w:p w14:paraId="5BFA546F" w14:textId="77777777" w:rsidR="00801B02" w:rsidRDefault="00801B02" w:rsidP="00801B0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China Shipbuilding Industry Group Power in its major asset restructuring</w:t>
      </w:r>
    </w:p>
    <w:p w14:paraId="786734FE" w14:textId="77777777" w:rsidR="00801B02" w:rsidRDefault="00801B02" w:rsidP="00801B0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China United Travel in its major asset restructuring</w:t>
      </w:r>
    </w:p>
    <w:p w14:paraId="43A8D4AC" w14:textId="77777777" w:rsidR="00801B02" w:rsidRDefault="00801B02" w:rsidP="00801B0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Shanghai SynTheAll Pharmaceutical in its major asset restructuring</w:t>
      </w:r>
    </w:p>
    <w:p w14:paraId="671EEB54" w14:textId="77777777" w:rsidR="00801B02" w:rsidRDefault="00801B02" w:rsidP="00801B0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Acted as the independent financial advisor</w:t>
      </w:r>
      <w:r w:rsidRPr="00801B02">
        <w:rPr>
          <w:rFonts w:ascii="等线" w:eastAsia="等线" w:hAnsi="Times New Roman"/>
          <w:color w:val="000000"/>
        </w:rPr>
        <w:t>’</w:t>
      </w:r>
      <w:r w:rsidRPr="00801B02">
        <w:rPr>
          <w:rFonts w:ascii="等线" w:eastAsia="等线" w:hAnsi="Times New Roman"/>
          <w:color w:val="000000"/>
        </w:rPr>
        <w:t>s counsel in the major asset restructuring of Sinopharm National Medicine</w:t>
      </w:r>
    </w:p>
    <w:p w14:paraId="3DED8948" w14:textId="77777777" w:rsidR="00801B02" w:rsidRDefault="00801B02" w:rsidP="00801B0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Acted as the investor</w:t>
      </w:r>
      <w:r w:rsidRPr="00801B02">
        <w:rPr>
          <w:rFonts w:ascii="等线" w:eastAsia="等线" w:hAnsi="Times New Roman"/>
          <w:color w:val="000000"/>
        </w:rPr>
        <w:t>’</w:t>
      </w:r>
      <w:r w:rsidRPr="00801B02">
        <w:rPr>
          <w:rFonts w:ascii="等线" w:eastAsia="等线" w:hAnsi="Times New Roman"/>
          <w:color w:val="000000"/>
        </w:rPr>
        <w:t>s counsel in the major asset restructuring of Longshine Technology Group</w:t>
      </w:r>
    </w:p>
    <w:p w14:paraId="18709E31" w14:textId="77777777" w:rsidR="00801B02" w:rsidRDefault="00801B02" w:rsidP="00801B0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Guangdong Ganhua Science &amp; Industry Co. in its acquisition of a defense industry company</w:t>
      </w:r>
    </w:p>
    <w:p w14:paraId="16CB320A" w14:textId="77777777" w:rsidR="00801B02" w:rsidRDefault="00801B02" w:rsidP="00801B0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Black Peony (Group) in its acquisition of an infrastructure company that builds roads and bridges</w:t>
      </w:r>
    </w:p>
    <w:p w14:paraId="1A2905AC" w14:textId="77777777" w:rsidR="00801B02" w:rsidRDefault="00801B02" w:rsidP="00801B0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Shanghai Kinlita Chemical in the transfer of its controlling right</w:t>
      </w:r>
    </w:p>
    <w:p w14:paraId="0D09B014" w14:textId="77777777" w:rsidR="00801B02" w:rsidRDefault="00801B02" w:rsidP="00801B0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Shenyang Blue Silver Industry Automatic Equipment and its controlling shareholder in their domestic financing</w:t>
      </w:r>
    </w:p>
    <w:p w14:paraId="5F2FA96F" w14:textId="77777777" w:rsidR="00801B02" w:rsidRDefault="00801B02" w:rsidP="00801B0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Shanghai Junshi Biosciences in its domestic financing</w:t>
      </w:r>
    </w:p>
    <w:p w14:paraId="6963E19E" w14:textId="77777777" w:rsidR="00801B02" w:rsidRDefault="00801B02" w:rsidP="00801B0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Fu Jian Anjoy Foods in the issuance of convertible bonds</w:t>
      </w:r>
    </w:p>
    <w:p w14:paraId="5C0C1620" w14:textId="77777777" w:rsidR="00801B02" w:rsidRDefault="00801B02" w:rsidP="00801B0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Black Peony (Group) in its domestic financing</w:t>
      </w:r>
    </w:p>
    <w:p w14:paraId="4EAA6274" w14:textId="77777777" w:rsidR="00801B02" w:rsidRDefault="00801B02" w:rsidP="00801B0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Zhejiang Cainiao Supply Chain Management in its investment in YTO Express Group</w:t>
      </w:r>
      <w:r w:rsidRPr="00801B02">
        <w:rPr>
          <w:rFonts w:ascii="等线" w:eastAsia="等线" w:hAnsi="Times New Roman"/>
          <w:color w:val="000000"/>
        </w:rPr>
        <w:t>’</w:t>
      </w:r>
      <w:r w:rsidRPr="00801B02">
        <w:rPr>
          <w:rFonts w:ascii="等线" w:eastAsia="等线" w:hAnsi="Times New Roman"/>
          <w:color w:val="000000"/>
        </w:rPr>
        <w:t>s convertible bonds</w:t>
      </w:r>
    </w:p>
    <w:p w14:paraId="1B062175" w14:textId="77777777" w:rsidR="00801B02" w:rsidRDefault="00801B02" w:rsidP="00801B0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Alibaba in its investment in Beijing Timeloit Technology</w:t>
      </w:r>
    </w:p>
    <w:p w14:paraId="3D98E1C2" w14:textId="77777777" w:rsidR="00801B02" w:rsidRDefault="00801B02" w:rsidP="00801B0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Boyu Capital in its investment in Yimi Dida Supply Chain Group</w:t>
      </w:r>
    </w:p>
    <w:p w14:paraId="1C0997BD" w14:textId="77777777" w:rsidR="00801B02" w:rsidRDefault="00801B02" w:rsidP="00801B0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Shanghai Fudan Zhangjiang Bio-Pharmaceutical in its investment in Shanghai WD Pharmaceutical Technology</w:t>
      </w:r>
    </w:p>
    <w:p w14:paraId="608C698A" w14:textId="77777777" w:rsidR="00801B02" w:rsidRDefault="00801B02" w:rsidP="00801B0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Puyi (Shanghai) Bio-Tech in its Series B financing</w:t>
      </w:r>
    </w:p>
    <w:p w14:paraId="718D4475" w14:textId="77777777" w:rsidR="00801B02" w:rsidRDefault="00801B02" w:rsidP="00801B0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Represented Shanghai Fudan Zhangjiang Bio-Pharmaceutical in it</w:t>
      </w:r>
      <w:r w:rsidRPr="00801B02">
        <w:rPr>
          <w:rFonts w:ascii="等线" w:eastAsia="等线" w:hAnsi="Times New Roman"/>
          <w:color w:val="000000"/>
        </w:rPr>
        <w:t>’</w:t>
      </w:r>
      <w:r w:rsidRPr="00801B02">
        <w:rPr>
          <w:rFonts w:ascii="等线" w:eastAsia="等线" w:hAnsi="Times New Roman"/>
          <w:color w:val="000000"/>
        </w:rPr>
        <w:t>s a-share equity inventive plan and repurchase of H shares</w:t>
      </w:r>
    </w:p>
    <w:p w14:paraId="787F1B44" w14:textId="77777777" w:rsidR="00801B02" w:rsidRDefault="00801B02" w:rsidP="00801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1B02">
        <w:rPr>
          <w:rFonts w:ascii="等线" w:eastAsia="等线" w:hAnsi="等线"/>
          <w:b/>
          <w:sz w:val="24"/>
        </w:rPr>
        <w:t>Education</w:t>
      </w:r>
    </w:p>
    <w:p w14:paraId="2D3225E7" w14:textId="77777777" w:rsidR="00801B02" w:rsidRDefault="00801B02" w:rsidP="00801B0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Shanghai University, School of Law, LL.B.</w:t>
      </w:r>
    </w:p>
    <w:p w14:paraId="796CF581" w14:textId="77777777" w:rsidR="00801B02" w:rsidRDefault="00801B02" w:rsidP="00801B0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Fudan University, School of Law, LL.M.</w:t>
      </w:r>
    </w:p>
    <w:p w14:paraId="37174D84" w14:textId="77777777" w:rsidR="00801B02" w:rsidRDefault="00801B02" w:rsidP="00801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1B02">
        <w:rPr>
          <w:rFonts w:ascii="等线" w:eastAsia="等线" w:hAnsi="等线"/>
          <w:b/>
          <w:sz w:val="24"/>
        </w:rPr>
        <w:t>Professional Qualification</w:t>
      </w:r>
    </w:p>
    <w:p w14:paraId="7A797D0B" w14:textId="77777777" w:rsidR="00801B02" w:rsidRDefault="00801B02" w:rsidP="00801B0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Admitted to practice in the PRC</w:t>
      </w:r>
    </w:p>
    <w:p w14:paraId="77EE568A" w14:textId="77777777" w:rsidR="00801B02" w:rsidRDefault="00801B02" w:rsidP="00801B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1B02">
        <w:rPr>
          <w:rFonts w:ascii="等线" w:eastAsia="等线" w:hAnsi="等线"/>
          <w:b/>
          <w:sz w:val="24"/>
        </w:rPr>
        <w:t>Professional Background</w:t>
      </w:r>
    </w:p>
    <w:p w14:paraId="5567FC3C" w14:textId="0D7AE033" w:rsidR="00686369" w:rsidRPr="00801B02" w:rsidRDefault="00801B02" w:rsidP="00801B0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1B02">
        <w:rPr>
          <w:rFonts w:ascii="等线" w:eastAsia="等线" w:hAnsi="Times New Roman"/>
          <w:color w:val="000000"/>
        </w:rPr>
        <w:t>Ms. Hu joined the Shanghai office of Fangda Partners in 2018.</w:t>
      </w:r>
    </w:p>
    <w:sectPr w:rsidR="00686369" w:rsidRPr="00801B0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1A0E"/>
    <w:multiLevelType w:val="singleLevel"/>
    <w:tmpl w:val="4A3C3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56031E"/>
    <w:multiLevelType w:val="singleLevel"/>
    <w:tmpl w:val="4DA8AD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4C4366"/>
    <w:multiLevelType w:val="singleLevel"/>
    <w:tmpl w:val="12C42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974CBE"/>
    <w:multiLevelType w:val="singleLevel"/>
    <w:tmpl w:val="436251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8F5E0D"/>
    <w:multiLevelType w:val="singleLevel"/>
    <w:tmpl w:val="687CBA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CA17BD"/>
    <w:multiLevelType w:val="singleLevel"/>
    <w:tmpl w:val="F1722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0D1CD5"/>
    <w:multiLevelType w:val="singleLevel"/>
    <w:tmpl w:val="2B2A3E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3D4F46"/>
    <w:multiLevelType w:val="singleLevel"/>
    <w:tmpl w:val="7BEEC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313D28"/>
    <w:multiLevelType w:val="singleLevel"/>
    <w:tmpl w:val="89F87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341F1E"/>
    <w:multiLevelType w:val="singleLevel"/>
    <w:tmpl w:val="76923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6E5671"/>
    <w:multiLevelType w:val="singleLevel"/>
    <w:tmpl w:val="B5F85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2716E0"/>
    <w:multiLevelType w:val="singleLevel"/>
    <w:tmpl w:val="42924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49747C8"/>
    <w:multiLevelType w:val="singleLevel"/>
    <w:tmpl w:val="9E5E1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C87F48"/>
    <w:multiLevelType w:val="singleLevel"/>
    <w:tmpl w:val="F1D89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D3B323A"/>
    <w:multiLevelType w:val="singleLevel"/>
    <w:tmpl w:val="30C09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E58696F"/>
    <w:multiLevelType w:val="singleLevel"/>
    <w:tmpl w:val="5D004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C03C9A"/>
    <w:multiLevelType w:val="singleLevel"/>
    <w:tmpl w:val="80BEA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5B44B8D"/>
    <w:multiLevelType w:val="singleLevel"/>
    <w:tmpl w:val="97A2A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142E09"/>
    <w:multiLevelType w:val="singleLevel"/>
    <w:tmpl w:val="7BEEC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FBC30B2"/>
    <w:multiLevelType w:val="singleLevel"/>
    <w:tmpl w:val="88CA4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4881BB3"/>
    <w:multiLevelType w:val="singleLevel"/>
    <w:tmpl w:val="A0206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995F51"/>
    <w:multiLevelType w:val="singleLevel"/>
    <w:tmpl w:val="A510F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94703B"/>
    <w:multiLevelType w:val="singleLevel"/>
    <w:tmpl w:val="D0F00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CEB4F84"/>
    <w:multiLevelType w:val="singleLevel"/>
    <w:tmpl w:val="44422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E4B714C"/>
    <w:multiLevelType w:val="singleLevel"/>
    <w:tmpl w:val="B36EFF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FDC2946"/>
    <w:multiLevelType w:val="singleLevel"/>
    <w:tmpl w:val="684EE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012020"/>
    <w:multiLevelType w:val="singleLevel"/>
    <w:tmpl w:val="CD5CC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DAE4E0B"/>
    <w:multiLevelType w:val="singleLevel"/>
    <w:tmpl w:val="182CB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6"/>
  </w:num>
  <w:num w:numId="4">
    <w:abstractNumId w:val="29"/>
  </w:num>
  <w:num w:numId="5">
    <w:abstractNumId w:val="27"/>
  </w:num>
  <w:num w:numId="6">
    <w:abstractNumId w:val="13"/>
  </w:num>
  <w:num w:numId="7">
    <w:abstractNumId w:val="24"/>
  </w:num>
  <w:num w:numId="8">
    <w:abstractNumId w:val="28"/>
  </w:num>
  <w:num w:numId="9">
    <w:abstractNumId w:val="2"/>
  </w:num>
  <w:num w:numId="10">
    <w:abstractNumId w:val="16"/>
  </w:num>
  <w:num w:numId="11">
    <w:abstractNumId w:val="25"/>
  </w:num>
  <w:num w:numId="12">
    <w:abstractNumId w:val="10"/>
  </w:num>
  <w:num w:numId="13">
    <w:abstractNumId w:val="1"/>
  </w:num>
  <w:num w:numId="14">
    <w:abstractNumId w:val="0"/>
  </w:num>
  <w:num w:numId="15">
    <w:abstractNumId w:val="8"/>
  </w:num>
  <w:num w:numId="16">
    <w:abstractNumId w:val="9"/>
  </w:num>
  <w:num w:numId="17">
    <w:abstractNumId w:val="5"/>
  </w:num>
  <w:num w:numId="18">
    <w:abstractNumId w:val="26"/>
  </w:num>
  <w:num w:numId="19">
    <w:abstractNumId w:val="18"/>
  </w:num>
  <w:num w:numId="20">
    <w:abstractNumId w:val="17"/>
  </w:num>
  <w:num w:numId="21">
    <w:abstractNumId w:val="11"/>
  </w:num>
  <w:num w:numId="22">
    <w:abstractNumId w:val="23"/>
  </w:num>
  <w:num w:numId="23">
    <w:abstractNumId w:val="19"/>
  </w:num>
  <w:num w:numId="24">
    <w:abstractNumId w:val="22"/>
  </w:num>
  <w:num w:numId="25">
    <w:abstractNumId w:val="21"/>
  </w:num>
  <w:num w:numId="26">
    <w:abstractNumId w:val="15"/>
  </w:num>
  <w:num w:numId="27">
    <w:abstractNumId w:val="3"/>
  </w:num>
  <w:num w:numId="28">
    <w:abstractNumId w:val="4"/>
  </w:num>
  <w:num w:numId="29">
    <w:abstractNumId w:val="7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01B02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01B0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01B0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AF7576-DC24-47AA-9B53-AC12D6741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2026-10-10T00:01:00Z</dcterms:created>
  <dcterms:modified xsi:type="dcterms:W3CDTF">2026-10-10T00:01:00Z</dcterms:modified>
</cp:coreProperties>
</file>