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D57C677" w:rsidR="0049405C" w:rsidRPr="00C24D79" w:rsidRDefault="00BA5BC0" w:rsidP="00BA5BC0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BA5BC0">
              <w:rPr>
                <w:rFonts w:ascii="等线" w:eastAsia="等线" w:hAnsi="Times New Roman"/>
                <w:b/>
                <w:color w:val="000000"/>
                <w:sz w:val="48"/>
              </w:rPr>
              <w:t>SWITA GAN</w:t>
            </w:r>
            <w:bookmarkEnd w:id="0"/>
          </w:p>
          <w:p w14:paraId="706EB16B" w14:textId="6B658A69" w:rsidR="0049405C" w:rsidRPr="00C24D79" w:rsidRDefault="00BA5BC0" w:rsidP="00BA5BC0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BA5BC0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BA5BC0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BA5BC0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317BCD6A" w:rsidR="0049405C" w:rsidRPr="00C24D79" w:rsidRDefault="00BA5BC0" w:rsidP="00BA5BC0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BA5BC0">
              <w:rPr>
                <w:rFonts w:ascii="等线" w:eastAsia="等线" w:hAnsi="Times New Roman"/>
                <w:color w:val="000000"/>
              </w:rPr>
              <w:t xml:space="preserve">+86 21 6263 5830 </w:t>
            </w:r>
            <w:bookmarkEnd w:id="3"/>
          </w:p>
          <w:p w14:paraId="4F910ACA" w14:textId="75842B4E" w:rsidR="0049405C" w:rsidRPr="00C24D79" w:rsidRDefault="00BA5BC0" w:rsidP="00BA5BC0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BA5BC0">
              <w:rPr>
                <w:rFonts w:ascii="等线" w:eastAsia="等线" w:hAnsi="Times New Roman"/>
                <w:color w:val="000000"/>
              </w:rPr>
              <w:t>swita.gan@fangdalaw.com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5D8D32B" w:rsidR="0049405C" w:rsidRPr="00C24D79" w:rsidRDefault="00BA5BC0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A29EFE9" wp14:editId="557AF076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A7E3A55" w:rsidR="009465FB" w:rsidRPr="00C24D79" w:rsidRDefault="00BA5BC0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BA5BC0">
              <w:rPr>
                <w:rFonts w:ascii="等线" w:eastAsia="等线" w:hAnsi="Times New Roman"/>
                <w:color w:val="000000"/>
                <w:szCs w:val="21"/>
              </w:rPr>
              <w:t>MS. SWITA GAN SPECIALIZES IN ANTITRUST AND COMPETITION LAW, INCLUDING ANTITRUST ADMINISTRATIVE INVESTIGATIONS, ANTITRUST COMPLIANCE ADVISORY, ANTITRUST LITIGATION AND MERGER CONTROL FILINGS.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142059A" w14:textId="77777777" w:rsidR="00BA5BC0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D81B66C" w14:textId="77777777" w:rsidR="00BA5BC0" w:rsidRDefault="00BA5BC0" w:rsidP="00BA5BC0">
      <w:pPr>
        <w:pStyle w:val="af5"/>
        <w:spacing w:before="120"/>
        <w:rPr>
          <w:rFonts w:ascii="等线" w:eastAsia="等线" w:hAnsi="Times New Roman"/>
          <w:color w:val="000000"/>
        </w:rPr>
      </w:pPr>
      <w:r w:rsidRPr="00BA5BC0">
        <w:rPr>
          <w:rFonts w:ascii="等线" w:eastAsia="等线" w:hAnsi="Times New Roman"/>
          <w:color w:val="000000"/>
        </w:rPr>
        <w:t>Swita joined Fangda Partners in 2017. Before joining the firm, she worked at another major Chinese firm practicing antitrust and competition law for four years.</w:t>
      </w:r>
    </w:p>
    <w:p w14:paraId="0929F9B2" w14:textId="77777777" w:rsidR="00BA5BC0" w:rsidRDefault="00BA5BC0" w:rsidP="00BA5BC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A5BC0">
        <w:rPr>
          <w:rFonts w:ascii="等线" w:eastAsia="等线" w:hAnsi="等线"/>
          <w:b/>
          <w:sz w:val="24"/>
        </w:rPr>
        <w:t>REPRESENTATIVE MATTERS AND CASES</w:t>
      </w:r>
    </w:p>
    <w:p w14:paraId="32A884A0" w14:textId="77777777" w:rsidR="00BA5BC0" w:rsidRDefault="00BA5BC0" w:rsidP="00BA5BC0">
      <w:pPr>
        <w:pStyle w:val="af5"/>
        <w:spacing w:before="120"/>
        <w:rPr>
          <w:rFonts w:ascii="等线" w:eastAsia="等线" w:hAnsi="Times New Roman"/>
          <w:color w:val="000000"/>
        </w:rPr>
      </w:pPr>
      <w:r w:rsidRPr="00BA5BC0">
        <w:rPr>
          <w:rFonts w:ascii="等线" w:eastAsia="等线" w:hAnsi="Times New Roman"/>
          <w:color w:val="000000"/>
        </w:rPr>
        <w:t>Swita</w:t>
      </w:r>
      <w:r w:rsidRPr="00BA5BC0">
        <w:rPr>
          <w:rFonts w:ascii="等线" w:eastAsia="等线" w:hAnsi="Times New Roman"/>
          <w:color w:val="000000"/>
        </w:rPr>
        <w:t>’</w:t>
      </w:r>
      <w:r w:rsidRPr="00BA5BC0">
        <w:rPr>
          <w:rFonts w:ascii="等线" w:eastAsia="等线" w:hAnsi="Times New Roman"/>
          <w:color w:val="000000"/>
        </w:rPr>
        <w:t>s recent antitrust compliance advisory work includes advising</w:t>
      </w:r>
    </w:p>
    <w:p w14:paraId="6F02B83D" w14:textId="77777777" w:rsidR="00BA5BC0" w:rsidRDefault="00BA5BC0" w:rsidP="00BA5BC0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5BC0">
        <w:rPr>
          <w:rFonts w:ascii="等线" w:eastAsia="等线" w:hAnsi="Times New Roman"/>
          <w:color w:val="000000"/>
        </w:rPr>
        <w:t>a world-leading auto company on its internal audit of its antitrust compliance</w:t>
      </w:r>
    </w:p>
    <w:p w14:paraId="26C3FF4F" w14:textId="77777777" w:rsidR="00BA5BC0" w:rsidRDefault="00BA5BC0" w:rsidP="00BA5BC0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5BC0">
        <w:rPr>
          <w:rFonts w:ascii="等线" w:eastAsia="等线" w:hAnsi="Times New Roman"/>
          <w:color w:val="000000"/>
        </w:rPr>
        <w:t>a state-owned chemical company on the establishment of its antitrust compliance system and on the review of its antitrust compliance status</w:t>
      </w:r>
    </w:p>
    <w:p w14:paraId="6E38A859" w14:textId="77777777" w:rsidR="00BA5BC0" w:rsidRDefault="00BA5BC0" w:rsidP="00BA5BC0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5BC0">
        <w:rPr>
          <w:rFonts w:ascii="等线" w:eastAsia="等线" w:hAnsi="Times New Roman"/>
          <w:color w:val="000000"/>
        </w:rPr>
        <w:t>a world-leading digital products company on its self-review of its antitrust compliance system</w:t>
      </w:r>
    </w:p>
    <w:p w14:paraId="13CC0AD8" w14:textId="77777777" w:rsidR="00BA5BC0" w:rsidRDefault="00BA5BC0" w:rsidP="00BA5BC0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5BC0">
        <w:rPr>
          <w:rFonts w:ascii="等线" w:eastAsia="等线" w:hAnsi="Times New Roman"/>
          <w:color w:val="000000"/>
        </w:rPr>
        <w:t>a well-known US high-tech company in its self-review of its business practices in China from an antitrust compliance perspective</w:t>
      </w:r>
    </w:p>
    <w:p w14:paraId="34C0EF16" w14:textId="77777777" w:rsidR="00BA5BC0" w:rsidRDefault="00BA5BC0" w:rsidP="00BA5BC0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5BC0">
        <w:rPr>
          <w:rFonts w:ascii="等线" w:eastAsia="等线" w:hAnsi="Times New Roman"/>
          <w:color w:val="000000"/>
        </w:rPr>
        <w:t>a well-known beverage company on its exclusivity arrangements with its business partners</w:t>
      </w:r>
    </w:p>
    <w:p w14:paraId="4E08D88A" w14:textId="77777777" w:rsidR="00BA5BC0" w:rsidRDefault="00BA5BC0" w:rsidP="00BA5BC0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5BC0">
        <w:rPr>
          <w:rFonts w:ascii="等线" w:eastAsia="等线" w:hAnsi="Times New Roman"/>
          <w:color w:val="000000"/>
        </w:rPr>
        <w:t>a global chemical company on antitrust compliance in China</w:t>
      </w:r>
    </w:p>
    <w:p w14:paraId="0C521D48" w14:textId="77777777" w:rsidR="00BA5BC0" w:rsidRDefault="00BA5BC0" w:rsidP="00BA5BC0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5BC0">
        <w:rPr>
          <w:rFonts w:ascii="等线" w:eastAsia="等线" w:hAnsi="Times New Roman"/>
          <w:color w:val="000000"/>
        </w:rPr>
        <w:t>a multinational energy company on pricing synergies among its subsidiaries and joint ventures</w:t>
      </w:r>
    </w:p>
    <w:p w14:paraId="2B919846" w14:textId="77777777" w:rsidR="00BA5BC0" w:rsidRDefault="00BA5BC0" w:rsidP="00BA5BC0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5BC0">
        <w:rPr>
          <w:rFonts w:ascii="等线" w:eastAsia="等线" w:hAnsi="Times New Roman"/>
          <w:color w:val="000000"/>
        </w:rPr>
        <w:t>a world-leading electric power company on sensitive information sharing</w:t>
      </w:r>
    </w:p>
    <w:p w14:paraId="540A0CB4" w14:textId="77777777" w:rsidR="00BA5BC0" w:rsidRDefault="00BA5BC0" w:rsidP="00BA5BC0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5BC0">
        <w:rPr>
          <w:rFonts w:ascii="等线" w:eastAsia="等线" w:hAnsi="Times New Roman"/>
          <w:color w:val="000000"/>
        </w:rPr>
        <w:t>a leading global aseptic packaging company on adjusting their rebate scheme to reduce the risk of competition law liability</w:t>
      </w:r>
    </w:p>
    <w:p w14:paraId="4F1C6785" w14:textId="77777777" w:rsidR="00BA5BC0" w:rsidRDefault="00BA5BC0" w:rsidP="00BA5BC0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5BC0">
        <w:rPr>
          <w:rFonts w:ascii="等线" w:eastAsia="等线" w:hAnsi="Times New Roman"/>
          <w:color w:val="000000"/>
        </w:rPr>
        <w:t>a number of multinational pharmaceutical companies on competition concerns relating to distribution and commercialization arrangements under new medical reform regulations</w:t>
      </w:r>
    </w:p>
    <w:p w14:paraId="7263BD8D" w14:textId="77777777" w:rsidR="00BA5BC0" w:rsidRDefault="00BA5BC0" w:rsidP="00BA5BC0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5BC0">
        <w:rPr>
          <w:rFonts w:ascii="等线" w:eastAsia="等线" w:hAnsi="Times New Roman"/>
          <w:color w:val="000000"/>
        </w:rPr>
        <w:t>a number of Fortune 500 companies on their antitrust audits, compliance trainings and other behavioral conduct issues</w:t>
      </w:r>
    </w:p>
    <w:p w14:paraId="23564E76" w14:textId="77777777" w:rsidR="00BA5BC0" w:rsidRDefault="00BA5BC0" w:rsidP="00BA5BC0">
      <w:pPr>
        <w:pStyle w:val="af5"/>
        <w:spacing w:before="120"/>
        <w:rPr>
          <w:rFonts w:ascii="等线" w:eastAsia="等线" w:hAnsi="Times New Roman"/>
          <w:color w:val="000000"/>
        </w:rPr>
      </w:pPr>
      <w:r w:rsidRPr="00BA5BC0">
        <w:rPr>
          <w:rFonts w:ascii="等线" w:eastAsia="等线" w:hAnsi="Times New Roman"/>
          <w:color w:val="000000"/>
        </w:rPr>
        <w:t>Swita</w:t>
      </w:r>
      <w:r w:rsidRPr="00BA5BC0">
        <w:rPr>
          <w:rFonts w:ascii="等线" w:eastAsia="等线" w:hAnsi="Times New Roman"/>
          <w:color w:val="000000"/>
        </w:rPr>
        <w:t>’</w:t>
      </w:r>
      <w:r w:rsidRPr="00BA5BC0">
        <w:rPr>
          <w:rFonts w:ascii="等线" w:eastAsia="等线" w:hAnsi="Times New Roman"/>
          <w:color w:val="000000"/>
        </w:rPr>
        <w:t>s recent antitrust investigation work includes advising</w:t>
      </w:r>
    </w:p>
    <w:p w14:paraId="4BF09C9C" w14:textId="77777777" w:rsidR="00BA5BC0" w:rsidRDefault="00BA5BC0" w:rsidP="00BA5BC0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5BC0">
        <w:rPr>
          <w:rFonts w:ascii="等线" w:eastAsia="等线" w:hAnsi="Times New Roman"/>
          <w:color w:val="000000"/>
        </w:rPr>
        <w:t>Alibaba Group on responding to an SAMR antitrust investigation into abuse of dominance</w:t>
      </w:r>
    </w:p>
    <w:p w14:paraId="750E643F" w14:textId="77777777" w:rsidR="00BA5BC0" w:rsidRDefault="00BA5BC0" w:rsidP="00BA5BC0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5BC0">
        <w:rPr>
          <w:rFonts w:ascii="等线" w:eastAsia="等线" w:hAnsi="Times New Roman"/>
          <w:color w:val="000000"/>
        </w:rPr>
        <w:t>Eastman Chemicals, a global chemicals company, on responding to the first abuse of dominance investigation initiated by the SAIC in the chemicals industry as well as an NDRC investigation into resale price maintenance</w:t>
      </w:r>
    </w:p>
    <w:p w14:paraId="39301418" w14:textId="77777777" w:rsidR="00BA5BC0" w:rsidRDefault="00BA5BC0" w:rsidP="00BA5BC0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5BC0">
        <w:rPr>
          <w:rFonts w:ascii="等线" w:eastAsia="等线" w:hAnsi="Times New Roman"/>
          <w:color w:val="000000"/>
        </w:rPr>
        <w:t>GN Audio, a global producer of consumer products, on handling an antitrust investigation by the NDRC and its local counterpart</w:t>
      </w:r>
    </w:p>
    <w:p w14:paraId="1C9B4B4C" w14:textId="77777777" w:rsidR="00BA5BC0" w:rsidRDefault="00BA5BC0" w:rsidP="00BA5BC0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5BC0">
        <w:rPr>
          <w:rFonts w:ascii="等线" w:eastAsia="等线" w:hAnsi="Times New Roman"/>
          <w:color w:val="000000"/>
        </w:rPr>
        <w:t>a world-leading pharmaceutical company on responding to an antitrust investigation by the Zhejiang AMR</w:t>
      </w:r>
    </w:p>
    <w:p w14:paraId="66372ED2" w14:textId="77777777" w:rsidR="00BA5BC0" w:rsidRDefault="00BA5BC0" w:rsidP="00BA5BC0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5BC0">
        <w:rPr>
          <w:rFonts w:ascii="等线" w:eastAsia="等线" w:hAnsi="Times New Roman"/>
          <w:color w:val="000000"/>
        </w:rPr>
        <w:t>a world-leading consumer products company on responding to an SHAMR investigation into resale price maintenance</w:t>
      </w:r>
    </w:p>
    <w:p w14:paraId="5F114660" w14:textId="77777777" w:rsidR="00BA5BC0" w:rsidRDefault="00BA5BC0" w:rsidP="00BA5BC0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5BC0">
        <w:rPr>
          <w:rFonts w:ascii="等线" w:eastAsia="等线" w:hAnsi="Times New Roman"/>
          <w:color w:val="000000"/>
        </w:rPr>
        <w:t>a global manufacturer on an NDRC antitrust investigation into abuse of dominance</w:t>
      </w:r>
    </w:p>
    <w:p w14:paraId="2CCC06A2" w14:textId="77777777" w:rsidR="00BA5BC0" w:rsidRDefault="00BA5BC0" w:rsidP="00BA5BC0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5BC0">
        <w:rPr>
          <w:rFonts w:ascii="等线" w:eastAsia="等线" w:hAnsi="Times New Roman"/>
          <w:color w:val="000000"/>
        </w:rPr>
        <w:t>two multinational automobile companies on handling antitrust investigations initiated by Chinese competition authorities</w:t>
      </w:r>
    </w:p>
    <w:p w14:paraId="6C878988" w14:textId="77777777" w:rsidR="00BA5BC0" w:rsidRDefault="00BA5BC0" w:rsidP="00BA5BC0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5BC0">
        <w:rPr>
          <w:rFonts w:ascii="等线" w:eastAsia="等线" w:hAnsi="Times New Roman"/>
          <w:color w:val="000000"/>
        </w:rPr>
        <w:t>a leading global high-tech company on handling an antitrust investigation by the SAIC</w:t>
      </w:r>
    </w:p>
    <w:p w14:paraId="0BE13CE6" w14:textId="77777777" w:rsidR="00BA5BC0" w:rsidRDefault="00BA5BC0" w:rsidP="00BA5BC0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5BC0">
        <w:rPr>
          <w:rFonts w:ascii="等线" w:eastAsia="等线" w:hAnsi="Times New Roman"/>
          <w:color w:val="000000"/>
        </w:rPr>
        <w:t>a luxury eye-glasses company on handling a dawn raid by the NDRC and on responding to the authority</w:t>
      </w:r>
      <w:r w:rsidRPr="00BA5BC0">
        <w:rPr>
          <w:rFonts w:ascii="等线" w:eastAsia="等线" w:hAnsi="Times New Roman"/>
          <w:color w:val="000000"/>
        </w:rPr>
        <w:t>’</w:t>
      </w:r>
      <w:r w:rsidRPr="00BA5BC0">
        <w:rPr>
          <w:rFonts w:ascii="等线" w:eastAsia="等线" w:hAnsi="Times New Roman"/>
          <w:color w:val="000000"/>
        </w:rPr>
        <w:t>s questionnaires</w:t>
      </w:r>
    </w:p>
    <w:p w14:paraId="45F0C982" w14:textId="77777777" w:rsidR="00BA5BC0" w:rsidRDefault="00BA5BC0" w:rsidP="00BA5BC0">
      <w:pPr>
        <w:pStyle w:val="af5"/>
        <w:spacing w:before="120"/>
        <w:rPr>
          <w:rFonts w:ascii="等线" w:eastAsia="等线" w:hAnsi="Times New Roman"/>
          <w:color w:val="000000"/>
        </w:rPr>
      </w:pPr>
      <w:r w:rsidRPr="00BA5BC0">
        <w:rPr>
          <w:rFonts w:ascii="等线" w:eastAsia="等线" w:hAnsi="Times New Roman"/>
          <w:color w:val="000000"/>
        </w:rPr>
        <w:t>Swita</w:t>
      </w:r>
      <w:r w:rsidRPr="00BA5BC0">
        <w:rPr>
          <w:rFonts w:ascii="等线" w:eastAsia="等线" w:hAnsi="Times New Roman"/>
          <w:color w:val="000000"/>
        </w:rPr>
        <w:t>’</w:t>
      </w:r>
      <w:r w:rsidRPr="00BA5BC0">
        <w:rPr>
          <w:rFonts w:ascii="等线" w:eastAsia="等线" w:hAnsi="Times New Roman"/>
          <w:color w:val="000000"/>
        </w:rPr>
        <w:t>s recent work in advising on PRC merger control includes advising</w:t>
      </w:r>
    </w:p>
    <w:p w14:paraId="5B53F823" w14:textId="77777777" w:rsidR="00BA5BC0" w:rsidRDefault="00BA5BC0" w:rsidP="00BA5BC0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5BC0">
        <w:rPr>
          <w:rFonts w:ascii="等线" w:eastAsia="等线" w:hAnsi="Times New Roman"/>
          <w:color w:val="000000"/>
        </w:rPr>
        <w:t>Cargotec on the PRC merger filing for its EUR 87 million acquisition of TTS Group</w:t>
      </w:r>
      <w:r w:rsidRPr="00BA5BC0">
        <w:rPr>
          <w:rFonts w:ascii="等线" w:eastAsia="等线" w:hAnsi="Times New Roman"/>
          <w:color w:val="000000"/>
        </w:rPr>
        <w:t>’</w:t>
      </w:r>
      <w:r w:rsidRPr="00BA5BC0">
        <w:rPr>
          <w:rFonts w:ascii="等线" w:eastAsia="等线" w:hAnsi="Times New Roman"/>
          <w:color w:val="000000"/>
        </w:rPr>
        <w:t>s marine and offshore business, which was the recent largest deal and remedy case in the ship equipment industry</w:t>
      </w:r>
    </w:p>
    <w:p w14:paraId="1C366031" w14:textId="77777777" w:rsidR="00BA5BC0" w:rsidRDefault="00BA5BC0" w:rsidP="00BA5BC0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5BC0">
        <w:rPr>
          <w:rFonts w:ascii="等线" w:eastAsia="等线" w:hAnsi="Times New Roman"/>
          <w:color w:val="000000"/>
        </w:rPr>
        <w:t>Suez on its Chinese merger filing for the acquisition of the GE Water Treatment and Process Technologies Business</w:t>
      </w:r>
    </w:p>
    <w:p w14:paraId="5F4F3FE3" w14:textId="77777777" w:rsidR="00BA5BC0" w:rsidRDefault="00BA5BC0" w:rsidP="00BA5BC0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5BC0">
        <w:rPr>
          <w:rFonts w:ascii="等线" w:eastAsia="等线" w:hAnsi="Times New Roman"/>
          <w:color w:val="000000"/>
        </w:rPr>
        <w:t>a leading domestic internet company on assessing the notifiability and conducting competition analysis for its transactions</w:t>
      </w:r>
    </w:p>
    <w:p w14:paraId="0937231E" w14:textId="77777777" w:rsidR="00BA5BC0" w:rsidRDefault="00BA5BC0" w:rsidP="00BA5BC0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5BC0">
        <w:rPr>
          <w:rFonts w:ascii="等线" w:eastAsia="等线" w:hAnsi="Times New Roman"/>
          <w:color w:val="000000"/>
        </w:rPr>
        <w:t>both parties in the Chinese merger filing for two leading PE funds</w:t>
      </w:r>
      <w:r w:rsidRPr="00BA5BC0">
        <w:rPr>
          <w:rFonts w:ascii="等线" w:eastAsia="等线" w:hAnsi="Times New Roman"/>
          <w:color w:val="000000"/>
        </w:rPr>
        <w:t>’</w:t>
      </w:r>
      <w:r w:rsidRPr="00BA5BC0">
        <w:rPr>
          <w:rFonts w:ascii="等线" w:eastAsia="等线" w:hAnsi="Times New Roman"/>
          <w:color w:val="000000"/>
        </w:rPr>
        <w:t xml:space="preserve"> investment in a home appliance company</w:t>
      </w:r>
    </w:p>
    <w:p w14:paraId="525DF1CC" w14:textId="77777777" w:rsidR="00BA5BC0" w:rsidRDefault="00BA5BC0" w:rsidP="00BA5BC0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5BC0">
        <w:rPr>
          <w:rFonts w:ascii="等线" w:eastAsia="等线" w:hAnsi="Times New Roman"/>
          <w:color w:val="000000"/>
        </w:rPr>
        <w:t>FAM AB on its Chinese merger filing for the acquisition of a leading European packaging company</w:t>
      </w:r>
    </w:p>
    <w:p w14:paraId="026C8C3E" w14:textId="77777777" w:rsidR="00BA5BC0" w:rsidRDefault="00BA5BC0" w:rsidP="00BA5BC0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5BC0">
        <w:rPr>
          <w:rFonts w:ascii="等线" w:eastAsia="等线" w:hAnsi="Times New Roman"/>
          <w:color w:val="000000"/>
        </w:rPr>
        <w:t>several Japanese conglomerates on assessing the notifiability of their transactions</w:t>
      </w:r>
    </w:p>
    <w:p w14:paraId="3281D548" w14:textId="77777777" w:rsidR="00BA5BC0" w:rsidRDefault="00BA5BC0" w:rsidP="00BA5BC0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5BC0">
        <w:rPr>
          <w:rFonts w:ascii="等线" w:eastAsia="等线" w:hAnsi="Times New Roman"/>
          <w:color w:val="000000"/>
        </w:rPr>
        <w:t>several leading global and domestic funds on assessing the notifiability of their transactions</w:t>
      </w:r>
    </w:p>
    <w:p w14:paraId="44105A57" w14:textId="77777777" w:rsidR="00BA5BC0" w:rsidRDefault="00BA5BC0" w:rsidP="00BA5BC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A5BC0">
        <w:rPr>
          <w:rFonts w:ascii="等线" w:eastAsia="等线" w:hAnsi="等线"/>
          <w:b/>
          <w:sz w:val="24"/>
        </w:rPr>
        <w:t>Education</w:t>
      </w:r>
    </w:p>
    <w:p w14:paraId="75029532" w14:textId="77777777" w:rsidR="00BA5BC0" w:rsidRDefault="00BA5BC0" w:rsidP="00BA5BC0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5BC0">
        <w:rPr>
          <w:rFonts w:ascii="等线" w:eastAsia="等线" w:hAnsi="Times New Roman"/>
          <w:color w:val="000000"/>
        </w:rPr>
        <w:t>East China University of Politics and Law, School of Economic Law, LL.M.</w:t>
      </w:r>
    </w:p>
    <w:p w14:paraId="3E116AF0" w14:textId="77777777" w:rsidR="00BA5BC0" w:rsidRDefault="00BA5BC0" w:rsidP="00BA5BC0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5BC0">
        <w:rPr>
          <w:rFonts w:ascii="等线" w:eastAsia="等线" w:hAnsi="Times New Roman"/>
          <w:color w:val="000000"/>
        </w:rPr>
        <w:t>East China University of Politics and Law, School of Economic Law, LL.B.</w:t>
      </w:r>
    </w:p>
    <w:p w14:paraId="4556D12C" w14:textId="77777777" w:rsidR="00BA5BC0" w:rsidRDefault="00BA5BC0" w:rsidP="00BA5BC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A5BC0">
        <w:rPr>
          <w:rFonts w:ascii="等线" w:eastAsia="等线" w:hAnsi="等线"/>
          <w:b/>
          <w:sz w:val="24"/>
        </w:rPr>
        <w:t>Professional Qualification</w:t>
      </w:r>
    </w:p>
    <w:p w14:paraId="27CC6879" w14:textId="77777777" w:rsidR="00BA5BC0" w:rsidRDefault="00BA5BC0" w:rsidP="00BA5BC0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5BC0">
        <w:rPr>
          <w:rFonts w:ascii="等线" w:eastAsia="等线" w:hAnsi="Times New Roman"/>
          <w:color w:val="000000"/>
        </w:rPr>
        <w:t>Admitted to practice in the PRC</w:t>
      </w:r>
    </w:p>
    <w:p w14:paraId="7555DD20" w14:textId="77777777" w:rsidR="00BA5BC0" w:rsidRDefault="00BA5BC0" w:rsidP="00BA5BC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A5BC0">
        <w:rPr>
          <w:rFonts w:ascii="等线" w:eastAsia="等线" w:hAnsi="等线"/>
          <w:b/>
          <w:sz w:val="24"/>
        </w:rPr>
        <w:t>Work Language</w:t>
      </w:r>
    </w:p>
    <w:p w14:paraId="48B0B01A" w14:textId="77777777" w:rsidR="00BA5BC0" w:rsidRDefault="00BA5BC0" w:rsidP="00BA5BC0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5BC0">
        <w:rPr>
          <w:rFonts w:ascii="等线" w:eastAsia="等线" w:hAnsi="Times New Roman"/>
          <w:color w:val="000000"/>
        </w:rPr>
        <w:t>Mandarin</w:t>
      </w:r>
    </w:p>
    <w:p w14:paraId="5567FC3C" w14:textId="3D60ACAA" w:rsidR="00686369" w:rsidRPr="00BA5BC0" w:rsidRDefault="00BA5BC0" w:rsidP="00BA5BC0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5BC0">
        <w:rPr>
          <w:rFonts w:ascii="等线" w:eastAsia="等线" w:hAnsi="Times New Roman"/>
          <w:color w:val="000000"/>
        </w:rPr>
        <w:t>English</w:t>
      </w:r>
    </w:p>
    <w:sectPr w:rsidR="00686369" w:rsidRPr="00BA5BC0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D206C"/>
    <w:multiLevelType w:val="singleLevel"/>
    <w:tmpl w:val="819811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43052BC"/>
    <w:multiLevelType w:val="singleLevel"/>
    <w:tmpl w:val="13062F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B545609"/>
    <w:multiLevelType w:val="singleLevel"/>
    <w:tmpl w:val="3DE604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BA5700B"/>
    <w:multiLevelType w:val="singleLevel"/>
    <w:tmpl w:val="7F24F5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BCD711C"/>
    <w:multiLevelType w:val="singleLevel"/>
    <w:tmpl w:val="6CDA47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C721A18"/>
    <w:multiLevelType w:val="singleLevel"/>
    <w:tmpl w:val="BAD4DE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2684854"/>
    <w:multiLevelType w:val="singleLevel"/>
    <w:tmpl w:val="FEE06F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2E51131"/>
    <w:multiLevelType w:val="singleLevel"/>
    <w:tmpl w:val="01C2CE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3C23878"/>
    <w:multiLevelType w:val="singleLevel"/>
    <w:tmpl w:val="D0A83C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62B2DD4"/>
    <w:multiLevelType w:val="singleLevel"/>
    <w:tmpl w:val="B0649F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69D2BEA"/>
    <w:multiLevelType w:val="singleLevel"/>
    <w:tmpl w:val="96E8C8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536383A"/>
    <w:multiLevelType w:val="singleLevel"/>
    <w:tmpl w:val="337A36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8976C8E"/>
    <w:multiLevelType w:val="singleLevel"/>
    <w:tmpl w:val="80D601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DE2713D"/>
    <w:multiLevelType w:val="singleLevel"/>
    <w:tmpl w:val="CD303C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30475313"/>
    <w:multiLevelType w:val="singleLevel"/>
    <w:tmpl w:val="819811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A9E0EB8"/>
    <w:multiLevelType w:val="singleLevel"/>
    <w:tmpl w:val="964459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8" w15:restartNumberingAfterBreak="0">
    <w:nsid w:val="41EE0373"/>
    <w:multiLevelType w:val="singleLevel"/>
    <w:tmpl w:val="42F063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221214D"/>
    <w:multiLevelType w:val="singleLevel"/>
    <w:tmpl w:val="FF3C64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7401AC4"/>
    <w:multiLevelType w:val="singleLevel"/>
    <w:tmpl w:val="6212DD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88737AA"/>
    <w:multiLevelType w:val="singleLevel"/>
    <w:tmpl w:val="006A4A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3C62067"/>
    <w:multiLevelType w:val="singleLevel"/>
    <w:tmpl w:val="BF0499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489425B"/>
    <w:multiLevelType w:val="singleLevel"/>
    <w:tmpl w:val="DDBAB6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308040E"/>
    <w:multiLevelType w:val="singleLevel"/>
    <w:tmpl w:val="85D6F2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4E165F6"/>
    <w:multiLevelType w:val="singleLevel"/>
    <w:tmpl w:val="F9D4DF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63E2666"/>
    <w:multiLevelType w:val="singleLevel"/>
    <w:tmpl w:val="CA7A36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ADF2888"/>
    <w:multiLevelType w:val="singleLevel"/>
    <w:tmpl w:val="244A9D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D257CD1"/>
    <w:multiLevelType w:val="singleLevel"/>
    <w:tmpl w:val="9954C3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13553DC"/>
    <w:multiLevelType w:val="singleLevel"/>
    <w:tmpl w:val="824894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24635E7"/>
    <w:multiLevelType w:val="singleLevel"/>
    <w:tmpl w:val="A6EE63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350224A"/>
    <w:multiLevelType w:val="singleLevel"/>
    <w:tmpl w:val="5CCC85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6C23BEE"/>
    <w:multiLevelType w:val="singleLevel"/>
    <w:tmpl w:val="D2ACC2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792D09B6"/>
    <w:multiLevelType w:val="singleLevel"/>
    <w:tmpl w:val="E74E40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7E7E08A7"/>
    <w:multiLevelType w:val="singleLevel"/>
    <w:tmpl w:val="C2525E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4"/>
  </w:num>
  <w:num w:numId="2">
    <w:abstractNumId w:val="17"/>
  </w:num>
  <w:num w:numId="3">
    <w:abstractNumId w:val="10"/>
  </w:num>
  <w:num w:numId="4">
    <w:abstractNumId w:val="31"/>
  </w:num>
  <w:num w:numId="5">
    <w:abstractNumId w:val="6"/>
  </w:num>
  <w:num w:numId="6">
    <w:abstractNumId w:val="27"/>
  </w:num>
  <w:num w:numId="7">
    <w:abstractNumId w:val="30"/>
  </w:num>
  <w:num w:numId="8">
    <w:abstractNumId w:val="7"/>
  </w:num>
  <w:num w:numId="9">
    <w:abstractNumId w:val="26"/>
  </w:num>
  <w:num w:numId="10">
    <w:abstractNumId w:val="5"/>
  </w:num>
  <w:num w:numId="11">
    <w:abstractNumId w:val="21"/>
  </w:num>
  <w:num w:numId="12">
    <w:abstractNumId w:val="3"/>
  </w:num>
  <w:num w:numId="13">
    <w:abstractNumId w:val="24"/>
  </w:num>
  <w:num w:numId="14">
    <w:abstractNumId w:val="18"/>
  </w:num>
  <w:num w:numId="15">
    <w:abstractNumId w:val="19"/>
  </w:num>
  <w:num w:numId="16">
    <w:abstractNumId w:val="8"/>
  </w:num>
  <w:num w:numId="17">
    <w:abstractNumId w:val="20"/>
  </w:num>
  <w:num w:numId="18">
    <w:abstractNumId w:val="11"/>
  </w:num>
  <w:num w:numId="19">
    <w:abstractNumId w:val="34"/>
  </w:num>
  <w:num w:numId="20">
    <w:abstractNumId w:val="2"/>
  </w:num>
  <w:num w:numId="21">
    <w:abstractNumId w:val="29"/>
  </w:num>
  <w:num w:numId="22">
    <w:abstractNumId w:val="13"/>
  </w:num>
  <w:num w:numId="23">
    <w:abstractNumId w:val="32"/>
  </w:num>
  <w:num w:numId="24">
    <w:abstractNumId w:val="22"/>
  </w:num>
  <w:num w:numId="25">
    <w:abstractNumId w:val="9"/>
  </w:num>
  <w:num w:numId="26">
    <w:abstractNumId w:val="28"/>
  </w:num>
  <w:num w:numId="27">
    <w:abstractNumId w:val="1"/>
  </w:num>
  <w:num w:numId="28">
    <w:abstractNumId w:val="12"/>
  </w:num>
  <w:num w:numId="29">
    <w:abstractNumId w:val="4"/>
  </w:num>
  <w:num w:numId="30">
    <w:abstractNumId w:val="33"/>
  </w:num>
  <w:num w:numId="31">
    <w:abstractNumId w:val="23"/>
  </w:num>
  <w:num w:numId="32">
    <w:abstractNumId w:val="16"/>
  </w:num>
  <w:num w:numId="33">
    <w:abstractNumId w:val="25"/>
  </w:num>
  <w:num w:numId="34">
    <w:abstractNumId w:val="15"/>
  </w:num>
  <w:num w:numId="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A5BC0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BA5BC0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BA5BC0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2A67959-B8FF-4C4A-8DD5-01F414D85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591</Words>
  <Characters>3375</Characters>
  <Application>Microsoft Office Word</Application>
  <DocSecurity>0</DocSecurity>
  <Lines>28</Lines>
  <Paragraphs>7</Paragraphs>
  <ScaleCrop>false</ScaleCrop>
  <Company/>
  <LinksUpToDate>false</LinksUpToDate>
  <CharactersWithSpaces>3959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2026-08-06T19:30:00Z</dcterms:created>
  <dcterms:modified xsi:type="dcterms:W3CDTF">2026-08-06T19:30:00Z</dcterms:modified>
</cp:coreProperties>
</file>