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A38D431" w:rsidR="0049405C" w:rsidRPr="00C24D79" w:rsidRDefault="00222BAF" w:rsidP="00222BA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222BAF">
              <w:rPr>
                <w:rFonts w:ascii="等线" w:eastAsia="等线" w:hAnsi="Times New Roman"/>
                <w:b/>
                <w:color w:val="000000"/>
                <w:sz w:val="48"/>
              </w:rPr>
              <w:t>CHEN FENG</w:t>
            </w:r>
            <w:bookmarkEnd w:id="0"/>
          </w:p>
          <w:p w14:paraId="706EB16B" w14:textId="41312202" w:rsidR="0049405C" w:rsidRPr="00C24D79" w:rsidRDefault="00222BAF" w:rsidP="00222BA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222BA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222BA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222BAF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14F28823" w:rsidR="0049405C" w:rsidRPr="00C24D79" w:rsidRDefault="00222BAF" w:rsidP="00222BA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222BAF">
              <w:rPr>
                <w:rFonts w:ascii="等线" w:eastAsia="等线" w:hAnsi="Times New Roman"/>
                <w:color w:val="000000"/>
              </w:rPr>
              <w:t xml:space="preserve">+86 10 5769 5600 </w:t>
            </w:r>
            <w:bookmarkEnd w:id="3"/>
          </w:p>
          <w:p w14:paraId="4F910ACA" w14:textId="375D5F49" w:rsidR="0049405C" w:rsidRPr="00C24D79" w:rsidRDefault="00222BAF" w:rsidP="00222BA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222BAF">
              <w:rPr>
                <w:rFonts w:ascii="等线" w:eastAsia="等线" w:hAnsi="Times New Roman"/>
                <w:color w:val="000000"/>
              </w:rPr>
              <w:t>Chen.feng@fangdalaw.com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C1E9458" w:rsidR="0049405C" w:rsidRPr="00C24D79" w:rsidRDefault="00222BA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C2DDCCC" wp14:editId="187DC6EF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41D52AE" w:rsidR="009465FB" w:rsidRPr="00C24D79" w:rsidRDefault="00222BA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222BAF">
              <w:rPr>
                <w:rFonts w:ascii="等线" w:eastAsia="等线" w:hAnsi="Times New Roman"/>
                <w:color w:val="000000"/>
                <w:szCs w:val="21"/>
              </w:rPr>
              <w:t>MS. CHEN FENG SPECIALIZES IN M&amp;A, PRIVATE EQUITY AND VENTURE CAPITAL INVESTMENT, FOF INVESTMENT AND GENERAL COMMERCIAL MATTERS.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EF40901" w14:textId="77777777" w:rsidR="00222BA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31D09AEA" w14:textId="77777777" w:rsidR="00222BAF" w:rsidRDefault="00222BAF" w:rsidP="00222BA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2BAF">
        <w:rPr>
          <w:rFonts w:ascii="等线" w:eastAsia="等线" w:hAnsi="等线"/>
          <w:b/>
          <w:sz w:val="24"/>
        </w:rPr>
        <w:t>REPRESENTATIVE MATTERS AND CASES</w:t>
      </w:r>
    </w:p>
    <w:p w14:paraId="1AF4D7B7" w14:textId="77777777" w:rsidR="00222BAF" w:rsidRDefault="00222BAF" w:rsidP="00222BAF">
      <w:pPr>
        <w:pStyle w:val="af5"/>
        <w:spacing w:before="120"/>
        <w:rPr>
          <w:rFonts w:ascii="等线" w:eastAsia="等线" w:hAnsi="Times New Roman"/>
          <w:color w:val="000000"/>
        </w:rPr>
      </w:pPr>
    </w:p>
    <w:p w14:paraId="545CF99B" w14:textId="77777777" w:rsidR="00222BAF" w:rsidRDefault="00222BAF" w:rsidP="00222BA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China Huaneng Group in its acquisition of several photovoltaic power generation companies from GCL New Energy Holdings (0451.HK)</w:t>
      </w:r>
    </w:p>
    <w:p w14:paraId="7671A1C6" w14:textId="77777777" w:rsidR="00222BAF" w:rsidRDefault="00222BAF" w:rsidP="00222BA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HNA Group and Tianhai Investment Development, an A-share listed company, in its merger with NYSE-listed Ingram Micro</w:t>
      </w:r>
    </w:p>
    <w:p w14:paraId="7CA48853" w14:textId="77777777" w:rsidR="00222BAF" w:rsidRDefault="00222BAF" w:rsidP="00222BA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CICC Capital in its acquisition of 51% equity in Zhejiang Shell</w:t>
      </w:r>
    </w:p>
    <w:p w14:paraId="44122EF0" w14:textId="77777777" w:rsidR="00222BAF" w:rsidRDefault="00222BAF" w:rsidP="00222BA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 Singapore-listed company in its business restructuring and subsequent MBO acquisition</w:t>
      </w:r>
    </w:p>
    <w:p w14:paraId="02FE62AF" w14:textId="77777777" w:rsidR="00222BAF" w:rsidRDefault="00222BAF" w:rsidP="00222BA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AEP in its acquisition of controlling interest in Jinmailand Food</w:t>
      </w:r>
    </w:p>
    <w:p w14:paraId="27FFB897" w14:textId="77777777" w:rsidR="00222BAF" w:rsidRDefault="00222BAF" w:rsidP="00222BA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Qianfang Technology in its acquisition of 51% equity interest in Beijing Pantian</w:t>
      </w:r>
    </w:p>
    <w:p w14:paraId="140F822C" w14:textId="77777777" w:rsidR="00222BAF" w:rsidRDefault="00222BAF" w:rsidP="00222BA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several enterprises in their red-chip restructuring deals</w:t>
      </w:r>
    </w:p>
    <w:p w14:paraId="7733DCED" w14:textId="77777777" w:rsidR="00222BAF" w:rsidRDefault="00222BAF" w:rsidP="00222BA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China Mobile in its cornerstone investment in Xiaomi Group</w:t>
      </w:r>
    </w:p>
    <w:p w14:paraId="4B955264" w14:textId="77777777" w:rsidR="00222BAF" w:rsidRDefault="00222BAF" w:rsidP="00222BA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China Mobile in its share subscription to Mangguochaomei (300413.SZ)</w:t>
      </w:r>
    </w:p>
    <w:p w14:paraId="086DF503" w14:textId="77777777" w:rsidR="00222BAF" w:rsidRDefault="00222BAF" w:rsidP="00222BA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Ant Finance in its investment in Ubox Online</w:t>
      </w:r>
    </w:p>
    <w:p w14:paraId="13064297" w14:textId="77777777" w:rsidR="00222BAF" w:rsidRDefault="00222BAF" w:rsidP="00222BA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Ant Finance in its Series D investment in YSTen Technology, a leading OTT TV technology, product and service provider</w:t>
      </w:r>
    </w:p>
    <w:p w14:paraId="62C19A84" w14:textId="77777777" w:rsidR="00222BAF" w:rsidRDefault="00222BAF" w:rsidP="00222BA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Ant Finance in its Series A and A+ investment in Xiyun Group, a leading group catering enterprise</w:t>
      </w:r>
    </w:p>
    <w:p w14:paraId="6CFBF3BC" w14:textId="77777777" w:rsidR="00222BAF" w:rsidRDefault="00222BAF" w:rsidP="00222BA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an offshore pension fund in its proposed investment in Danke Department</w:t>
      </w:r>
    </w:p>
    <w:p w14:paraId="3CA5E28A" w14:textId="77777777" w:rsidR="00222BAF" w:rsidRDefault="00222BAF" w:rsidP="00222BA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CICC Qirong Fund in its Series C investment in Chehejia</w:t>
      </w:r>
    </w:p>
    <w:p w14:paraId="36C10A0E" w14:textId="77777777" w:rsidR="00222BAF" w:rsidRDefault="00222BAF" w:rsidP="00222BA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IDG in its Series B investment in Xiaopeng Vehicle</w:t>
      </w:r>
    </w:p>
    <w:p w14:paraId="10B7BB64" w14:textId="77777777" w:rsidR="00222BAF" w:rsidRDefault="00222BAF" w:rsidP="00222BA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IDG in its investment in Baianju</w:t>
      </w:r>
    </w:p>
    <w:p w14:paraId="734F55AA" w14:textId="77777777" w:rsidR="00222BAF" w:rsidRDefault="00222BAF" w:rsidP="00222BA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Temasek in its investment in VIPABC</w:t>
      </w:r>
    </w:p>
    <w:p w14:paraId="3AAC5DF5" w14:textId="77777777" w:rsidR="00222BAF" w:rsidRDefault="00222BAF" w:rsidP="00222BA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Joy Capital in several of its private equity and venture capital portfolio investments</w:t>
      </w:r>
    </w:p>
    <w:p w14:paraId="268DBE10" w14:textId="77777777" w:rsidR="00222BAF" w:rsidRDefault="00222BAF" w:rsidP="00222BA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360 Enterprise Security in its pre-Series B and Series B financing</w:t>
      </w:r>
    </w:p>
    <w:p w14:paraId="537054BF" w14:textId="77777777" w:rsidR="00222BAF" w:rsidRDefault="00222BAF" w:rsidP="00222BA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WuXi Pharmatech in its investment in Hygeia, a medical technology development company</w:t>
      </w:r>
    </w:p>
    <w:p w14:paraId="38F41354" w14:textId="77777777" w:rsidR="00222BAF" w:rsidRDefault="00222BAF" w:rsidP="00222BA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CGC Capital in its investment in Yimutian</w:t>
      </w:r>
    </w:p>
    <w:p w14:paraId="00D6573A" w14:textId="77777777" w:rsidR="00222BAF" w:rsidRDefault="00222BAF" w:rsidP="00222BA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UNext Group Limited, a fast developing online payment service provider, in establishing its offshore structure and completing its series seed financing</w:t>
      </w:r>
    </w:p>
    <w:p w14:paraId="17AD1608" w14:textId="77777777" w:rsidR="00222BAF" w:rsidRDefault="00222BAF" w:rsidP="00222BA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a reputable battery manufacturer in its proposed privatization</w:t>
      </w:r>
    </w:p>
    <w:p w14:paraId="3BA3E629" w14:textId="77777777" w:rsidR="00222BAF" w:rsidRDefault="00222BAF" w:rsidP="00222BA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Jumei in its proposed privatization</w:t>
      </w:r>
    </w:p>
    <w:p w14:paraId="602C96AB" w14:textId="77777777" w:rsidR="00222BAF" w:rsidRDefault="00222BAF" w:rsidP="00222BA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Represented BEA Bank and other related entities in establishing East Asia Qian Hai Securities in Qianhai, Shenzhen according to the Mainland and Hong Kong Closer Economic Partnership Arrangement</w:t>
      </w:r>
    </w:p>
    <w:p w14:paraId="60B1E962" w14:textId="77777777" w:rsidR="00222BAF" w:rsidRDefault="00222BAF" w:rsidP="00222BA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Represent CICC Qiyuan and Qirong in several of their FoF investments</w:t>
      </w:r>
    </w:p>
    <w:p w14:paraId="372AB2E6" w14:textId="77777777" w:rsidR="00222BAF" w:rsidRDefault="00222BAF" w:rsidP="00222BA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2BAF">
        <w:rPr>
          <w:rFonts w:ascii="等线" w:eastAsia="等线" w:hAnsi="等线"/>
          <w:b/>
          <w:sz w:val="24"/>
        </w:rPr>
        <w:t>Education</w:t>
      </w:r>
    </w:p>
    <w:p w14:paraId="550D1F54" w14:textId="77777777" w:rsidR="00222BAF" w:rsidRDefault="00222BAF" w:rsidP="00222BA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Peking University, School of Law, J.M.</w:t>
      </w:r>
    </w:p>
    <w:p w14:paraId="56CF1FBF" w14:textId="77777777" w:rsidR="00222BAF" w:rsidRDefault="00222BAF" w:rsidP="00222BA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China University of Political Science and Law, School of Business, B.S. in Economics</w:t>
      </w:r>
    </w:p>
    <w:p w14:paraId="47BCC1FB" w14:textId="77777777" w:rsidR="00222BAF" w:rsidRDefault="00222BAF" w:rsidP="00222BA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2BAF">
        <w:rPr>
          <w:rFonts w:ascii="等线" w:eastAsia="等线" w:hAnsi="等线"/>
          <w:b/>
          <w:sz w:val="24"/>
        </w:rPr>
        <w:t>Professional Qualification</w:t>
      </w:r>
    </w:p>
    <w:p w14:paraId="370D1BC0" w14:textId="77777777" w:rsidR="00222BAF" w:rsidRDefault="00222BAF" w:rsidP="00222BA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Admitted to practice in the PRC</w:t>
      </w:r>
    </w:p>
    <w:p w14:paraId="58CB9447" w14:textId="77777777" w:rsidR="00222BAF" w:rsidRDefault="00222BAF" w:rsidP="00222BA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222BAF">
        <w:rPr>
          <w:rFonts w:ascii="等线" w:eastAsia="等线" w:hAnsi="等线"/>
          <w:b/>
          <w:sz w:val="24"/>
        </w:rPr>
        <w:t>Professional Background</w:t>
      </w:r>
    </w:p>
    <w:p w14:paraId="5567FC3C" w14:textId="15044442" w:rsidR="00686369" w:rsidRPr="00222BAF" w:rsidRDefault="00222BAF" w:rsidP="00222BA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222BAF">
        <w:rPr>
          <w:rFonts w:ascii="等线" w:eastAsia="等线" w:hAnsi="Times New Roman"/>
          <w:color w:val="000000"/>
        </w:rPr>
        <w:t>Ms. Chen Feng joined Fangda in 2015.</w:t>
      </w:r>
    </w:p>
    <w:sectPr w:rsidR="00686369" w:rsidRPr="00222BA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D70A28"/>
    <w:multiLevelType w:val="singleLevel"/>
    <w:tmpl w:val="69486B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DE478F"/>
    <w:multiLevelType w:val="singleLevel"/>
    <w:tmpl w:val="B8181F5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61879D4"/>
    <w:multiLevelType w:val="singleLevel"/>
    <w:tmpl w:val="478C32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CC87998"/>
    <w:multiLevelType w:val="singleLevel"/>
    <w:tmpl w:val="99E6933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DFE73C8"/>
    <w:multiLevelType w:val="singleLevel"/>
    <w:tmpl w:val="E4BEFE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FCC33D9"/>
    <w:multiLevelType w:val="singleLevel"/>
    <w:tmpl w:val="A49A46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2527C66"/>
    <w:multiLevelType w:val="singleLevel"/>
    <w:tmpl w:val="F8FA22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9DE7FE1"/>
    <w:multiLevelType w:val="singleLevel"/>
    <w:tmpl w:val="02B6604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1AC77AB3"/>
    <w:multiLevelType w:val="singleLevel"/>
    <w:tmpl w:val="D89204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90152B9"/>
    <w:multiLevelType w:val="singleLevel"/>
    <w:tmpl w:val="B2060B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DE902BD"/>
    <w:multiLevelType w:val="singleLevel"/>
    <w:tmpl w:val="446EC4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D56367"/>
    <w:multiLevelType w:val="singleLevel"/>
    <w:tmpl w:val="392818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3" w15:restartNumberingAfterBreak="0">
    <w:nsid w:val="32DC4DCE"/>
    <w:multiLevelType w:val="singleLevel"/>
    <w:tmpl w:val="0D38671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67D1C73"/>
    <w:multiLevelType w:val="singleLevel"/>
    <w:tmpl w:val="BF746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8C21D3F"/>
    <w:multiLevelType w:val="singleLevel"/>
    <w:tmpl w:val="BF7460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7" w15:restartNumberingAfterBreak="0">
    <w:nsid w:val="3CBA5935"/>
    <w:multiLevelType w:val="singleLevel"/>
    <w:tmpl w:val="D5523B4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CF08FA"/>
    <w:multiLevelType w:val="singleLevel"/>
    <w:tmpl w:val="7B7E05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6241FA5"/>
    <w:multiLevelType w:val="singleLevel"/>
    <w:tmpl w:val="610A4C6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D175BC"/>
    <w:multiLevelType w:val="singleLevel"/>
    <w:tmpl w:val="9FA877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A1019D1"/>
    <w:multiLevelType w:val="singleLevel"/>
    <w:tmpl w:val="F24286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E572F0D"/>
    <w:multiLevelType w:val="singleLevel"/>
    <w:tmpl w:val="05C4692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0D4243A"/>
    <w:multiLevelType w:val="singleLevel"/>
    <w:tmpl w:val="088E91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16A04E8"/>
    <w:multiLevelType w:val="singleLevel"/>
    <w:tmpl w:val="04CED1A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525427E7"/>
    <w:multiLevelType w:val="singleLevel"/>
    <w:tmpl w:val="6330A8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53DE298B"/>
    <w:multiLevelType w:val="singleLevel"/>
    <w:tmpl w:val="B420E2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569974D3"/>
    <w:multiLevelType w:val="singleLevel"/>
    <w:tmpl w:val="1CAA07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1AB2278"/>
    <w:multiLevelType w:val="singleLevel"/>
    <w:tmpl w:val="A386E43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C140DB1"/>
    <w:multiLevelType w:val="singleLevel"/>
    <w:tmpl w:val="A75C170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4331116"/>
    <w:multiLevelType w:val="singleLevel"/>
    <w:tmpl w:val="4D5294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4AB11AB"/>
    <w:multiLevelType w:val="singleLevel"/>
    <w:tmpl w:val="64D6D92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94B1770"/>
    <w:multiLevelType w:val="singleLevel"/>
    <w:tmpl w:val="5B14AC0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2"/>
  </w:num>
  <w:num w:numId="2">
    <w:abstractNumId w:val="16"/>
  </w:num>
  <w:num w:numId="3">
    <w:abstractNumId w:val="20"/>
  </w:num>
  <w:num w:numId="4">
    <w:abstractNumId w:val="21"/>
  </w:num>
  <w:num w:numId="5">
    <w:abstractNumId w:val="28"/>
  </w:num>
  <w:num w:numId="6">
    <w:abstractNumId w:val="23"/>
  </w:num>
  <w:num w:numId="7">
    <w:abstractNumId w:val="17"/>
  </w:num>
  <w:num w:numId="8">
    <w:abstractNumId w:val="24"/>
  </w:num>
  <w:num w:numId="9">
    <w:abstractNumId w:val="25"/>
  </w:num>
  <w:num w:numId="10">
    <w:abstractNumId w:val="22"/>
  </w:num>
  <w:num w:numId="11">
    <w:abstractNumId w:val="0"/>
  </w:num>
  <w:num w:numId="12">
    <w:abstractNumId w:val="26"/>
  </w:num>
  <w:num w:numId="13">
    <w:abstractNumId w:val="6"/>
  </w:num>
  <w:num w:numId="14">
    <w:abstractNumId w:val="7"/>
  </w:num>
  <w:num w:numId="15">
    <w:abstractNumId w:val="32"/>
  </w:num>
  <w:num w:numId="16">
    <w:abstractNumId w:val="4"/>
  </w:num>
  <w:num w:numId="17">
    <w:abstractNumId w:val="10"/>
  </w:num>
  <w:num w:numId="18">
    <w:abstractNumId w:val="11"/>
  </w:num>
  <w:num w:numId="19">
    <w:abstractNumId w:val="9"/>
  </w:num>
  <w:num w:numId="20">
    <w:abstractNumId w:val="19"/>
  </w:num>
  <w:num w:numId="21">
    <w:abstractNumId w:val="27"/>
  </w:num>
  <w:num w:numId="22">
    <w:abstractNumId w:val="1"/>
  </w:num>
  <w:num w:numId="23">
    <w:abstractNumId w:val="18"/>
  </w:num>
  <w:num w:numId="24">
    <w:abstractNumId w:val="5"/>
  </w:num>
  <w:num w:numId="25">
    <w:abstractNumId w:val="8"/>
  </w:num>
  <w:num w:numId="26">
    <w:abstractNumId w:val="3"/>
  </w:num>
  <w:num w:numId="27">
    <w:abstractNumId w:val="31"/>
  </w:num>
  <w:num w:numId="28">
    <w:abstractNumId w:val="13"/>
  </w:num>
  <w:num w:numId="29">
    <w:abstractNumId w:val="2"/>
  </w:num>
  <w:num w:numId="30">
    <w:abstractNumId w:val="29"/>
  </w:num>
  <w:num w:numId="31">
    <w:abstractNumId w:val="30"/>
  </w:num>
  <w:num w:numId="32">
    <w:abstractNumId w:val="15"/>
  </w:num>
  <w:num w:numId="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2BAF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222BA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222BA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E54E618-CFB0-4C35-9EC1-AD6E0F601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2026-09-17T21:19:00Z</dcterms:created>
  <dcterms:modified xsi:type="dcterms:W3CDTF">2026-09-17T21:19:00Z</dcterms:modified>
</cp:coreProperties>
</file>