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E1B8285" w:rsidR="0049405C" w:rsidRPr="00C24D79" w:rsidRDefault="006B648A" w:rsidP="006B648A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6B648A">
              <w:rPr>
                <w:rFonts w:ascii="等线" w:eastAsia="等线" w:hAnsi="Times New Roman"/>
                <w:b/>
                <w:color w:val="000000"/>
                <w:sz w:val="48"/>
              </w:rPr>
              <w:t>YUAN FANG</w:t>
            </w:r>
            <w:bookmarkEnd w:id="0"/>
          </w:p>
          <w:p w14:paraId="706EB16B" w14:textId="606B17BC" w:rsidR="0049405C" w:rsidRPr="00C24D79" w:rsidRDefault="006B648A" w:rsidP="006B648A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6B648A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6B648A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6B648A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077A64F6" w:rsidR="0049405C" w:rsidRPr="00C24D79" w:rsidRDefault="006B648A" w:rsidP="006B648A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6B648A">
              <w:rPr>
                <w:rFonts w:ascii="等线" w:eastAsia="等线" w:hAnsi="Times New Roman"/>
                <w:color w:val="000000"/>
              </w:rPr>
              <w:t xml:space="preserve">+86 21 2208 1188 </w:t>
            </w:r>
            <w:bookmarkEnd w:id="3"/>
          </w:p>
          <w:p w14:paraId="4F910ACA" w14:textId="7D7FE6CA" w:rsidR="0049405C" w:rsidRPr="00C24D79" w:rsidRDefault="006B648A" w:rsidP="006B648A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6B648A">
              <w:rPr>
                <w:rFonts w:ascii="等线" w:eastAsia="等线" w:hAnsi="Times New Roman"/>
                <w:color w:val="000000"/>
              </w:rPr>
              <w:t>yuan.fang@fangdalaw.com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83D9917" w:rsidR="0049405C" w:rsidRPr="00C24D79" w:rsidRDefault="006B648A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E26EAC8" wp14:editId="6642107A">
                  <wp:extent cx="1651000" cy="2145249"/>
                  <wp:effectExtent l="0" t="0" r="6350" b="762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5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EC5C0C8" w:rsidR="009465FB" w:rsidRPr="00C24D79" w:rsidRDefault="006B648A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6B648A">
              <w:rPr>
                <w:rFonts w:ascii="等线" w:eastAsia="等线" w:hAnsi="Times New Roman"/>
                <w:color w:val="000000"/>
                <w:szCs w:val="21"/>
              </w:rPr>
              <w:t>MS. FANG SPECIALIZES IN CAPITAL MARKETS, INCLUDING PUBLIC OFFERING, M&amp;A AND RESTRUCTURING, EQUITY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57BA7CB" w14:textId="77777777" w:rsidR="006B648A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9315270" w14:textId="77777777" w:rsidR="006B648A" w:rsidRDefault="006B648A" w:rsidP="006B648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B648A">
        <w:rPr>
          <w:rFonts w:ascii="等线" w:eastAsia="等线" w:hAnsi="等线"/>
          <w:b/>
          <w:sz w:val="24"/>
        </w:rPr>
        <w:t>REPRESENTATIVE MATTERS AND CASES</w:t>
      </w:r>
    </w:p>
    <w:p w14:paraId="49CCCD5F" w14:textId="77777777" w:rsidR="006B648A" w:rsidRDefault="006B648A" w:rsidP="006B648A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46EF2A6F" w14:textId="77777777" w:rsidR="006B648A" w:rsidRDefault="006B648A" w:rsidP="006B648A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B648A">
        <w:rPr>
          <w:rFonts w:ascii="等线" w:eastAsia="等线" w:hAnsi="Times New Roman"/>
          <w:color w:val="000000"/>
        </w:rPr>
        <w:t>Represented BeiGene, Ltd. in its A-share IPO on the STAR Market</w:t>
      </w:r>
    </w:p>
    <w:p w14:paraId="639B9698" w14:textId="77777777" w:rsidR="006B648A" w:rsidRDefault="006B648A" w:rsidP="006B648A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B648A">
        <w:rPr>
          <w:rFonts w:ascii="等线" w:eastAsia="等线" w:hAnsi="Times New Roman"/>
          <w:color w:val="000000"/>
        </w:rPr>
        <w:t>Represented InnoCare Pharma Limited in its A-share IPO on the STAR Market</w:t>
      </w:r>
    </w:p>
    <w:p w14:paraId="0D368D79" w14:textId="77777777" w:rsidR="006B648A" w:rsidRDefault="006B648A" w:rsidP="006B648A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B648A">
        <w:rPr>
          <w:rFonts w:ascii="等线" w:eastAsia="等线" w:hAnsi="Times New Roman"/>
          <w:color w:val="000000"/>
        </w:rPr>
        <w:t>Acted as the sponsor and underwriter's counsel in China Resources Microelectronics Limited</w:t>
      </w:r>
      <w:r w:rsidRPr="006B648A">
        <w:rPr>
          <w:rFonts w:ascii="等线" w:eastAsia="等线" w:hAnsi="Times New Roman"/>
          <w:color w:val="000000"/>
        </w:rPr>
        <w:t>’</w:t>
      </w:r>
      <w:r w:rsidRPr="006B648A">
        <w:rPr>
          <w:rFonts w:ascii="等线" w:eastAsia="等线" w:hAnsi="Times New Roman"/>
          <w:color w:val="000000"/>
        </w:rPr>
        <w:t>s A-share IPO on the STAR Market</w:t>
      </w:r>
    </w:p>
    <w:p w14:paraId="0219FD0F" w14:textId="77777777" w:rsidR="006B648A" w:rsidRDefault="006B648A" w:rsidP="006B648A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B648A">
        <w:rPr>
          <w:rFonts w:ascii="等线" w:eastAsia="等线" w:hAnsi="Times New Roman"/>
          <w:color w:val="000000"/>
        </w:rPr>
        <w:t>Represented Zoomlion Heavy Industry Science and Technology Co., Ltd. in its acquisition of the controlling stake in ShenZhen RoadRover Technology Co., Ltd.</w:t>
      </w:r>
    </w:p>
    <w:p w14:paraId="2B6AECC1" w14:textId="77777777" w:rsidR="006B648A" w:rsidRDefault="006B648A" w:rsidP="006B648A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B648A">
        <w:rPr>
          <w:rFonts w:ascii="等线" w:eastAsia="等线" w:hAnsi="Times New Roman"/>
          <w:color w:val="000000"/>
        </w:rPr>
        <w:t>Represented Shanghai Highly (Group) Co., Ltd. in its acquisition of the controlling stake in Marelli (Hong Kong) Holdings Co., Limited</w:t>
      </w:r>
    </w:p>
    <w:p w14:paraId="7B1921A5" w14:textId="77777777" w:rsidR="006B648A" w:rsidRDefault="006B648A" w:rsidP="006B648A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B648A">
        <w:rPr>
          <w:rFonts w:ascii="等线" w:eastAsia="等线" w:hAnsi="Times New Roman"/>
          <w:color w:val="000000"/>
        </w:rPr>
        <w:t>Represented China Shipbuilding Industry Corporation in its acquisition of the controlling stake in CEC CoreCast Corporation Limited through negotiated share transfer</w:t>
      </w:r>
    </w:p>
    <w:p w14:paraId="1C894354" w14:textId="77777777" w:rsidR="006B648A" w:rsidRDefault="006B648A" w:rsidP="006B648A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B648A">
        <w:rPr>
          <w:rFonts w:ascii="等线" w:eastAsia="等线" w:hAnsi="Times New Roman"/>
          <w:color w:val="000000"/>
        </w:rPr>
        <w:t>Represented ABB (China) Limited in its disposal of the controlling stake in its subsidiaries to Shanghai Guangdian Electric Group Co., Ltd. through material asset restructuring</w:t>
      </w:r>
    </w:p>
    <w:p w14:paraId="1EADCF94" w14:textId="77777777" w:rsidR="006B648A" w:rsidRDefault="006B648A" w:rsidP="006B648A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B648A">
        <w:rPr>
          <w:rFonts w:ascii="等线" w:eastAsia="等线" w:hAnsi="Times New Roman"/>
          <w:color w:val="000000"/>
        </w:rPr>
        <w:t>Represented Ningbo Jifeng Auto Parts Co., Ltd. in its acquisition of the controlling stake in Grammer AG with cash and issuance of convertible bonds and A shares</w:t>
      </w:r>
    </w:p>
    <w:p w14:paraId="36DEE5C4" w14:textId="77777777" w:rsidR="006B648A" w:rsidRDefault="006B648A" w:rsidP="006B648A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B648A">
        <w:rPr>
          <w:rFonts w:ascii="等线" w:eastAsia="等线" w:hAnsi="Times New Roman"/>
          <w:color w:val="000000"/>
        </w:rPr>
        <w:t>Represented Beijing Highlander Digital Technology Co., Ltd. in its acquisition of the minority interests in its subsidiaries with issuance of A-shares</w:t>
      </w:r>
    </w:p>
    <w:p w14:paraId="646C4AAB" w14:textId="77777777" w:rsidR="006B648A" w:rsidRDefault="006B648A" w:rsidP="006B648A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B648A">
        <w:rPr>
          <w:rFonts w:ascii="等线" w:eastAsia="等线" w:hAnsi="Times New Roman"/>
          <w:color w:val="000000"/>
        </w:rPr>
        <w:t>Represented China Marine Information Electronics Company Limited in its acquisition of the controlling stake in Beijing Great Wall Electronic Equipment Co., Ltd. through backdoor listing</w:t>
      </w:r>
    </w:p>
    <w:p w14:paraId="149FE6EA" w14:textId="77777777" w:rsidR="006B648A" w:rsidRDefault="006B648A" w:rsidP="006B648A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B648A">
        <w:rPr>
          <w:rFonts w:ascii="等线" w:eastAsia="等线" w:hAnsi="Times New Roman"/>
          <w:color w:val="000000"/>
        </w:rPr>
        <w:t>Represented Ant Financial in its investment in Shanghai Golden Bridge InfoTech Co., Ltd.</w:t>
      </w:r>
    </w:p>
    <w:p w14:paraId="4D5A3510" w14:textId="77777777" w:rsidR="006B648A" w:rsidRDefault="006B648A" w:rsidP="006B648A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B648A">
        <w:rPr>
          <w:rFonts w:ascii="等线" w:eastAsia="等线" w:hAnsi="Times New Roman"/>
          <w:color w:val="000000"/>
        </w:rPr>
        <w:t>Represented DCP Capital in its investment in Tonghua Dongbao Pharmaceutical Co., Ltd.</w:t>
      </w:r>
    </w:p>
    <w:p w14:paraId="393332EE" w14:textId="77777777" w:rsidR="006B648A" w:rsidRDefault="006B648A" w:rsidP="006B648A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B648A">
        <w:rPr>
          <w:rFonts w:ascii="等线" w:eastAsia="等线" w:hAnsi="Times New Roman"/>
          <w:color w:val="000000"/>
        </w:rPr>
        <w:t>Represented Alibaba in its investment in Shenzhen Aisidi Co., Ltd.</w:t>
      </w:r>
    </w:p>
    <w:p w14:paraId="50E37BBC" w14:textId="77777777" w:rsidR="006B648A" w:rsidRDefault="006B648A" w:rsidP="006B648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B648A">
        <w:rPr>
          <w:rFonts w:ascii="等线" w:eastAsia="等线" w:hAnsi="等线"/>
          <w:b/>
          <w:sz w:val="24"/>
        </w:rPr>
        <w:t>Education</w:t>
      </w:r>
    </w:p>
    <w:p w14:paraId="66508E32" w14:textId="77777777" w:rsidR="006B648A" w:rsidRDefault="006B648A" w:rsidP="006B648A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B648A">
        <w:rPr>
          <w:rFonts w:ascii="等线" w:eastAsia="等线" w:hAnsi="Times New Roman"/>
          <w:color w:val="000000"/>
        </w:rPr>
        <w:t>Peking University, J.M.</w:t>
      </w:r>
    </w:p>
    <w:p w14:paraId="62E1304A" w14:textId="77777777" w:rsidR="006B648A" w:rsidRDefault="006B648A" w:rsidP="006B648A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B648A">
        <w:rPr>
          <w:rFonts w:ascii="等线" w:eastAsia="等线" w:hAnsi="Times New Roman"/>
          <w:color w:val="000000"/>
        </w:rPr>
        <w:t>Zhejiang University, B.A.</w:t>
      </w:r>
    </w:p>
    <w:p w14:paraId="432B531C" w14:textId="77777777" w:rsidR="006B648A" w:rsidRDefault="006B648A" w:rsidP="006B648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B648A">
        <w:rPr>
          <w:rFonts w:ascii="等线" w:eastAsia="等线" w:hAnsi="等线"/>
          <w:b/>
          <w:sz w:val="24"/>
        </w:rPr>
        <w:t>Professional Qualification</w:t>
      </w:r>
    </w:p>
    <w:p w14:paraId="419E4E47" w14:textId="77777777" w:rsidR="006B648A" w:rsidRDefault="006B648A" w:rsidP="006B648A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B648A">
        <w:rPr>
          <w:rFonts w:ascii="等线" w:eastAsia="等线" w:hAnsi="Times New Roman"/>
          <w:color w:val="000000"/>
        </w:rPr>
        <w:t>Admitted to practice in the PRC</w:t>
      </w:r>
    </w:p>
    <w:p w14:paraId="03EE7FBB" w14:textId="77777777" w:rsidR="006B648A" w:rsidRDefault="006B648A" w:rsidP="006B648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B648A">
        <w:rPr>
          <w:rFonts w:ascii="等线" w:eastAsia="等线" w:hAnsi="等线"/>
          <w:b/>
          <w:sz w:val="24"/>
        </w:rPr>
        <w:t>Professional Background</w:t>
      </w:r>
    </w:p>
    <w:p w14:paraId="5567FC3C" w14:textId="6FA6CDF2" w:rsidR="00686369" w:rsidRPr="006B648A" w:rsidRDefault="006B648A" w:rsidP="006B648A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B648A">
        <w:rPr>
          <w:rFonts w:ascii="等线" w:eastAsia="等线" w:hAnsi="Times New Roman"/>
          <w:color w:val="000000"/>
        </w:rPr>
        <w:t>Ms. Fang joined Fangda in 2019.</w:t>
      </w:r>
    </w:p>
    <w:sectPr w:rsidR="00686369" w:rsidRPr="006B648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C55BA"/>
    <w:multiLevelType w:val="singleLevel"/>
    <w:tmpl w:val="D5943D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086148C"/>
    <w:multiLevelType w:val="singleLevel"/>
    <w:tmpl w:val="7B2254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9C609E1"/>
    <w:multiLevelType w:val="singleLevel"/>
    <w:tmpl w:val="86BC63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0A21190"/>
    <w:multiLevelType w:val="singleLevel"/>
    <w:tmpl w:val="E35A82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2F062559"/>
    <w:multiLevelType w:val="singleLevel"/>
    <w:tmpl w:val="8460B9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F4241C3"/>
    <w:multiLevelType w:val="singleLevel"/>
    <w:tmpl w:val="70F044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2204260"/>
    <w:multiLevelType w:val="singleLevel"/>
    <w:tmpl w:val="387A24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64A746A"/>
    <w:multiLevelType w:val="singleLevel"/>
    <w:tmpl w:val="CA407D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99D07ED"/>
    <w:multiLevelType w:val="singleLevel"/>
    <w:tmpl w:val="22D6E8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440B28F6"/>
    <w:multiLevelType w:val="singleLevel"/>
    <w:tmpl w:val="6610CE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FA95AF5"/>
    <w:multiLevelType w:val="singleLevel"/>
    <w:tmpl w:val="DFB499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6140C3C"/>
    <w:multiLevelType w:val="singleLevel"/>
    <w:tmpl w:val="980220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CCD615E"/>
    <w:multiLevelType w:val="singleLevel"/>
    <w:tmpl w:val="878A49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3460EF3"/>
    <w:multiLevelType w:val="singleLevel"/>
    <w:tmpl w:val="C9C2B3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6DD5E2E"/>
    <w:multiLevelType w:val="singleLevel"/>
    <w:tmpl w:val="02A866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AA672E2"/>
    <w:multiLevelType w:val="singleLevel"/>
    <w:tmpl w:val="DA6C19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B40197D"/>
    <w:multiLevelType w:val="singleLevel"/>
    <w:tmpl w:val="7898E2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BFD6D0E"/>
    <w:multiLevelType w:val="singleLevel"/>
    <w:tmpl w:val="DA6C19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10"/>
  </w:num>
  <w:num w:numId="3">
    <w:abstractNumId w:val="1"/>
  </w:num>
  <w:num w:numId="4">
    <w:abstractNumId w:val="12"/>
  </w:num>
  <w:num w:numId="5">
    <w:abstractNumId w:val="2"/>
  </w:num>
  <w:num w:numId="6">
    <w:abstractNumId w:val="8"/>
  </w:num>
  <w:num w:numId="7">
    <w:abstractNumId w:val="5"/>
  </w:num>
  <w:num w:numId="8">
    <w:abstractNumId w:val="14"/>
  </w:num>
  <w:num w:numId="9">
    <w:abstractNumId w:val="15"/>
  </w:num>
  <w:num w:numId="10">
    <w:abstractNumId w:val="3"/>
  </w:num>
  <w:num w:numId="11">
    <w:abstractNumId w:val="16"/>
  </w:num>
  <w:num w:numId="12">
    <w:abstractNumId w:val="18"/>
  </w:num>
  <w:num w:numId="13">
    <w:abstractNumId w:val="11"/>
  </w:num>
  <w:num w:numId="14">
    <w:abstractNumId w:val="0"/>
  </w:num>
  <w:num w:numId="15">
    <w:abstractNumId w:val="9"/>
  </w:num>
  <w:num w:numId="16">
    <w:abstractNumId w:val="13"/>
  </w:num>
  <w:num w:numId="17">
    <w:abstractNumId w:val="6"/>
  </w:num>
  <w:num w:numId="18">
    <w:abstractNumId w:val="7"/>
  </w:num>
  <w:num w:numId="19">
    <w:abstractNumId w:val="19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B648A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6B648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6B648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1C265F2-460F-4098-A974-B868485F0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1772</Characters>
  <Application>Microsoft Office Word</Application>
  <DocSecurity>0</DocSecurity>
  <Lines>14</Lines>
  <Paragraphs>4</Paragraphs>
  <ScaleCrop>false</ScaleCrop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2026-09-17T21:18:00Z</dcterms:created>
  <dcterms:modified xsi:type="dcterms:W3CDTF">2026-09-17T21:18:00Z</dcterms:modified>
</cp:coreProperties>
</file>