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BF0AEF5" w:rsidR="0049405C" w:rsidRPr="00C24D79" w:rsidRDefault="00DF2C41" w:rsidP="00DF2C4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F2C41">
              <w:rPr>
                <w:rFonts w:ascii="等线" w:eastAsia="等线" w:hAnsi="Times New Roman"/>
                <w:b/>
                <w:color w:val="000000"/>
                <w:sz w:val="48"/>
              </w:rPr>
              <w:t>EUNICE DAI</w:t>
            </w:r>
            <w:bookmarkEnd w:id="0"/>
          </w:p>
          <w:p w14:paraId="706EB16B" w14:textId="0B74D801" w:rsidR="0049405C" w:rsidRPr="00C24D79" w:rsidRDefault="00DF2C41" w:rsidP="00DF2C4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F2C4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F2C4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F2C4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C8F6087" w:rsidR="0049405C" w:rsidRPr="00C24D79" w:rsidRDefault="00DF2C41" w:rsidP="00DF2C4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F2C41">
              <w:rPr>
                <w:rFonts w:ascii="等线" w:eastAsia="等线" w:hAnsi="Times New Roman"/>
                <w:color w:val="000000"/>
              </w:rPr>
              <w:t xml:space="preserve">+86 10 5769 4282 </w:t>
            </w:r>
            <w:bookmarkEnd w:id="3"/>
          </w:p>
          <w:p w14:paraId="4F910ACA" w14:textId="4376DD6E" w:rsidR="0049405C" w:rsidRPr="00C24D79" w:rsidRDefault="00DF2C41" w:rsidP="00DF2C4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F2C41">
              <w:rPr>
                <w:rFonts w:ascii="等线" w:eastAsia="等线" w:hAnsi="Times New Roman"/>
                <w:color w:val="000000"/>
              </w:rPr>
              <w:t>eunice.dai@fangdalaw.com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C8848C" w:rsidR="0049405C" w:rsidRPr="00C24D79" w:rsidRDefault="00DF2C4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391D6C9" wp14:editId="3E312D65">
                  <wp:extent cx="1651000" cy="2205155"/>
                  <wp:effectExtent l="0" t="0" r="6350" b="508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205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2199C41" w:rsidR="009465FB" w:rsidRPr="00C24D79" w:rsidRDefault="00DF2C4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F2C41">
              <w:rPr>
                <w:rFonts w:ascii="等线" w:eastAsia="等线" w:hAnsi="Times New Roman"/>
                <w:color w:val="000000"/>
                <w:szCs w:val="21"/>
              </w:rPr>
              <w:t>MS. DAI SPECIALIZES IN DOMESTIC AND INTERNATIONAL SECURITIES OFFERINGS AND LISTINGS, M&amp;A, CORPORATE FINANCE, AND GENERAL CORPORATE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3A57BC4" w14:textId="77777777" w:rsidR="00DF2C4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B05D7E2" w14:textId="77777777" w:rsidR="00DF2C41" w:rsidRDefault="00DF2C41" w:rsidP="00DF2C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F2C41">
        <w:rPr>
          <w:rFonts w:ascii="等线" w:eastAsia="等线" w:hAnsi="等线"/>
          <w:b/>
          <w:sz w:val="24"/>
        </w:rPr>
        <w:t>REPRESENTATIVE MATTERS AND CASES</w:t>
      </w:r>
    </w:p>
    <w:p w14:paraId="58CFAE4D" w14:textId="77777777" w:rsidR="00DF2C41" w:rsidRDefault="00DF2C41" w:rsidP="00DF2C4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C8B854B" w14:textId="77777777" w:rsidR="00DF2C41" w:rsidRDefault="00DF2C41" w:rsidP="00DF2C4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5F8B2AE8" w14:textId="77777777" w:rsidR="00DF2C41" w:rsidRDefault="00DF2C41" w:rsidP="00DF2C4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 STAR market</w:t>
      </w:r>
    </w:p>
    <w:p w14:paraId="6DDD50C2" w14:textId="77777777" w:rsidR="00DF2C41" w:rsidRDefault="00DF2C41" w:rsidP="00DF2C4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Xinyaqiang Silicon Chemistry Co., Ltd (603155.SH) in its A-share IPO and listing on the Shanghai Stock Exchange</w:t>
      </w:r>
    </w:p>
    <w:p w14:paraId="6CF97D41" w14:textId="77777777" w:rsidR="00DF2C41" w:rsidRDefault="00DF2C41" w:rsidP="00DF2C4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Cowealth Medical China Co., Ltd. (603122.SH) in its A-share IPO and listing on the Shanghai Stock Exchange</w:t>
      </w:r>
    </w:p>
    <w:p w14:paraId="50D4597C" w14:textId="77777777" w:rsidR="00DF2C41" w:rsidRDefault="00DF2C41" w:rsidP="00DF2C4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Jiangsu Huachen Transformer Co., Ltd. (603097.SH) in its A-share IPO and listing on the Shanghai Stock Exchange</w:t>
      </w:r>
    </w:p>
    <w:p w14:paraId="4ABF3F69" w14:textId="77777777" w:rsidR="00DF2C41" w:rsidRDefault="00DF2C41" w:rsidP="00DF2C4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sponsor CICC in connection with Foxconn Industrial Internet Co., Ltd.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>s (601138.SH) A-share IPO and listing on the Shanghai Stock Exchange</w:t>
      </w:r>
    </w:p>
    <w:p w14:paraId="6880D511" w14:textId="77777777" w:rsidR="00DF2C41" w:rsidRDefault="00DF2C41" w:rsidP="00DF2C4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underwriter GSGH in connection with Contemporary Amperex Technology Co., Limited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>s (300750.SZ) A-share IPO and listing on Shenzhen Stock Exchange Growth Enterprise Market</w:t>
      </w:r>
    </w:p>
    <w:p w14:paraId="4012A091" w14:textId="77777777" w:rsidR="00DF2C41" w:rsidRDefault="00DF2C41" w:rsidP="00DF2C4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Qingdao Tianneng Heavy Industries Co., Ltd. (300568.SZ) in its A-share IPO and listing on the Shenzhen Stock Exchange Growth Enterprise Market</w:t>
      </w:r>
    </w:p>
    <w:p w14:paraId="7FEA7B5C" w14:textId="77777777" w:rsidR="00DF2C41" w:rsidRDefault="00DF2C41" w:rsidP="00DF2C4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Ningbo Ginlong Technologies Co., Ltd. (300763.SZ) in its A-share IPO and listing on the Shenzhen Stock Exchange Growth Enterprise Market</w:t>
      </w:r>
    </w:p>
    <w:p w14:paraId="30F97E0E" w14:textId="77777777" w:rsidR="00DF2C41" w:rsidRDefault="00DF2C41" w:rsidP="00DF2C4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sponsor CICC in connection with Qingdao Topscomm Communication Inc. (603421.SH)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>s A-share IPO and listing on the Shanghai Stock Exchange and issuance of convertible bonds</w:t>
      </w:r>
    </w:p>
    <w:p w14:paraId="14AD15E0" w14:textId="77777777" w:rsidR="00DF2C41" w:rsidRDefault="00DF2C41" w:rsidP="00DF2C4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634B13D6" w14:textId="77777777" w:rsidR="00DF2C41" w:rsidRDefault="00DF2C41" w:rsidP="00DF2C4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GCL System Integration Technology Co., Ltd. (002506.SZ) in its relisiting on the Shenzhen Stock Exchange and major asset reorganization</w:t>
      </w:r>
    </w:p>
    <w:p w14:paraId="130BD685" w14:textId="77777777" w:rsidR="00DF2C41" w:rsidRDefault="00DF2C41" w:rsidP="00DF2C4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sponsors CICC and UBSS in connection with CRRC Corporation Limited (601766.SH)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>s non-public issuance of A shares</w:t>
      </w:r>
    </w:p>
    <w:p w14:paraId="5A061339" w14:textId="77777777" w:rsidR="00DF2C41" w:rsidRDefault="00DF2C41" w:rsidP="00DF2C4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TPV Technology Limited in connection with Nanjing Huadong Electronics Information &amp; Technology Co., Ltd. (000727.SZ)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>s purchase of 51% shares of TPV Technology Limited and sale of Nanjing Huadong Electronics</w:t>
      </w:r>
      <w:r w:rsidRPr="00DF2C41">
        <w:rPr>
          <w:rFonts w:ascii="等线" w:eastAsia="等线" w:hAnsi="Times New Roman"/>
          <w:color w:val="000000"/>
        </w:rPr>
        <w:t>’</w:t>
      </w:r>
      <w:r w:rsidRPr="00DF2C41">
        <w:rPr>
          <w:rFonts w:ascii="等线" w:eastAsia="等线" w:hAnsi="Times New Roman"/>
          <w:color w:val="000000"/>
        </w:rPr>
        <w:t xml:space="preserve"> total assets</w:t>
      </w:r>
    </w:p>
    <w:p w14:paraId="4FB8D8AE" w14:textId="77777777" w:rsidR="00DF2C41" w:rsidRDefault="00DF2C41" w:rsidP="00DF2C4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Sichuan Tewoo Electromechanical Co., Ltd. (000757.SZ) in its share issuance and cash payment to the controlling shareholder of Neijiang Pengxiang to purchase 100% equity interest in Neijiang Pengxiang and to raise matching funds</w:t>
      </w:r>
    </w:p>
    <w:p w14:paraId="012B8642" w14:textId="77777777" w:rsidR="00DF2C41" w:rsidRDefault="00DF2C41" w:rsidP="00DF2C4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SK China Investments in its investment in BYD Semiconductor</w:t>
      </w:r>
    </w:p>
    <w:p w14:paraId="1D3208DA" w14:textId="77777777" w:rsidR="00DF2C41" w:rsidRDefault="00DF2C41" w:rsidP="00DF2C4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Walden International Investments in its investment in Anyka Microelectronics (Guangzhou) Co. Ltd</w:t>
      </w:r>
    </w:p>
    <w:p w14:paraId="36AC7B8E" w14:textId="77777777" w:rsidR="00DF2C41" w:rsidRDefault="00DF2C41" w:rsidP="00DF2C4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National IC Industry Investment Fund Phase II in its investment in Semiconductor Manufacturing International (Shenzhen) Corporation</w:t>
      </w:r>
    </w:p>
    <w:p w14:paraId="1014DA2E" w14:textId="77777777" w:rsidR="00DF2C41" w:rsidRDefault="00DF2C41" w:rsidP="00DF2C4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Innoscience Suzhou in its shareholding restructuring and D series financing</w:t>
      </w:r>
    </w:p>
    <w:p w14:paraId="5DB69E90" w14:textId="77777777" w:rsidR="00DF2C41" w:rsidRDefault="00DF2C41" w:rsidP="00DF2C4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Jiangsu Marching-Power Technology Co., Ltd. in its C series financing</w:t>
      </w:r>
    </w:p>
    <w:p w14:paraId="5745A2B7" w14:textId="77777777" w:rsidR="00DF2C41" w:rsidRDefault="00DF2C41" w:rsidP="00DF2C4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Beijing Data Intelink Technology Co., Ltd. in its pre-IPO financing</w:t>
      </w:r>
    </w:p>
    <w:p w14:paraId="75546946" w14:textId="77777777" w:rsidR="00DF2C41" w:rsidRDefault="00DF2C41" w:rsidP="00DF2C4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GCL New Energy (00451.HK) in its nationwide acquisition of 467 MW of photovoltaic assets</w:t>
      </w:r>
    </w:p>
    <w:p w14:paraId="5DFA28CD" w14:textId="77777777" w:rsidR="00DF2C41" w:rsidRDefault="00DF2C41" w:rsidP="00DF2C4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Poly GCL (03800.HK) in its nationwide acquisition of 342 MW of photovoltaic assets</w:t>
      </w:r>
    </w:p>
    <w:p w14:paraId="16CA208C" w14:textId="77777777" w:rsidR="00DF2C41" w:rsidRDefault="00DF2C41" w:rsidP="00DF2C4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CGN SEDC in its nationwide acquisition of 280 MW of photovoltaic assets</w:t>
      </w:r>
    </w:p>
    <w:p w14:paraId="4A21FCD4" w14:textId="77777777" w:rsidR="00DF2C41" w:rsidRDefault="00DF2C41" w:rsidP="00DF2C41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Anxin Trust in its acquisition of 280 MW of photovoltaic assets in Gansu</w:t>
      </w:r>
    </w:p>
    <w:p w14:paraId="62050A20" w14:textId="77777777" w:rsidR="00DF2C41" w:rsidRDefault="00DF2C41" w:rsidP="00DF2C41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Zhending Technology in its USD400 million convertible debenture offering</w:t>
      </w:r>
    </w:p>
    <w:p w14:paraId="2072E5E3" w14:textId="77777777" w:rsidR="00DF2C41" w:rsidRDefault="00DF2C41" w:rsidP="00DF2C41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underwriter CICC in its issuance and underwriting of corporate bonds, green bonds and panda bonds</w:t>
      </w:r>
    </w:p>
    <w:p w14:paraId="3C1D558C" w14:textId="77777777" w:rsidR="00DF2C41" w:rsidRDefault="00DF2C41" w:rsidP="00DF2C41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GCL System Integration Technology Co., Ltd. (002506.SZ), Taicang Harbour Golden Concord Electric-power Generation Co., Ltd. and other members of GCL Group in their issuance of short-term financing bills, ultra-short-term financing bills, and medium-term notes</w:t>
      </w:r>
    </w:p>
    <w:p w14:paraId="33CC9C78" w14:textId="77777777" w:rsidR="00DF2C41" w:rsidRDefault="00DF2C41" w:rsidP="00DF2C41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Represented the underwriter China Galaxy Securities in its underwriting of corporate bonds, green bonds and panda bonds</w:t>
      </w:r>
    </w:p>
    <w:p w14:paraId="323ED306" w14:textId="77777777" w:rsidR="00DF2C41" w:rsidRDefault="00DF2C41" w:rsidP="00DF2C41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Acted as legal consultant for Avary Holding (Shenzhen) Co., Limited (002938.SZ), Xinyaqiang Silicon Chemistry Co., Ltd (603155.SH), etc.</w:t>
      </w:r>
    </w:p>
    <w:p w14:paraId="593C9783" w14:textId="77777777" w:rsidR="00DF2C41" w:rsidRDefault="00DF2C41" w:rsidP="00DF2C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F2C41">
        <w:rPr>
          <w:rFonts w:ascii="等线" w:eastAsia="等线" w:hAnsi="等线"/>
          <w:b/>
          <w:sz w:val="24"/>
        </w:rPr>
        <w:t>Education</w:t>
      </w:r>
    </w:p>
    <w:p w14:paraId="3AB85387" w14:textId="77777777" w:rsidR="00DF2C41" w:rsidRDefault="00DF2C41" w:rsidP="00DF2C41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East China University of Political Science and Law, LL.B.</w:t>
      </w:r>
    </w:p>
    <w:p w14:paraId="34DA33FF" w14:textId="77777777" w:rsidR="00DF2C41" w:rsidRDefault="00DF2C41" w:rsidP="00DF2C41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China University of Political Science and Law, LL.M.</w:t>
      </w:r>
    </w:p>
    <w:p w14:paraId="51896E45" w14:textId="77777777" w:rsidR="00DF2C41" w:rsidRDefault="00DF2C41" w:rsidP="00DF2C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F2C41">
        <w:rPr>
          <w:rFonts w:ascii="等线" w:eastAsia="等线" w:hAnsi="等线"/>
          <w:b/>
          <w:sz w:val="24"/>
        </w:rPr>
        <w:t>Professional Qualification</w:t>
      </w:r>
    </w:p>
    <w:p w14:paraId="037F9157" w14:textId="77777777" w:rsidR="00DF2C41" w:rsidRDefault="00DF2C41" w:rsidP="00DF2C41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Admitted to practice in the PRC</w:t>
      </w:r>
    </w:p>
    <w:p w14:paraId="5F699742" w14:textId="77777777" w:rsidR="00DF2C41" w:rsidRDefault="00DF2C41" w:rsidP="00DF2C4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F2C41">
        <w:rPr>
          <w:rFonts w:ascii="等线" w:eastAsia="等线" w:hAnsi="等线"/>
          <w:b/>
          <w:sz w:val="24"/>
        </w:rPr>
        <w:t>Professional Background</w:t>
      </w:r>
    </w:p>
    <w:p w14:paraId="5567FC3C" w14:textId="70DCA421" w:rsidR="00686369" w:rsidRPr="00DF2C41" w:rsidRDefault="00DF2C41" w:rsidP="00DF2C41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F2C41">
        <w:rPr>
          <w:rFonts w:ascii="等线" w:eastAsia="等线" w:hAnsi="Times New Roman"/>
          <w:color w:val="000000"/>
        </w:rPr>
        <w:t>Ms. Dai joined Fangda in 2017. Before joining the firm, she worked at other first-tier PRC law firms in Beijing</w:t>
      </w:r>
    </w:p>
    <w:sectPr w:rsidR="00686369" w:rsidRPr="00DF2C4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5531"/>
    <w:multiLevelType w:val="singleLevel"/>
    <w:tmpl w:val="958E0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675C3E"/>
    <w:multiLevelType w:val="singleLevel"/>
    <w:tmpl w:val="0D9678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3153A56"/>
    <w:multiLevelType w:val="singleLevel"/>
    <w:tmpl w:val="526EA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2877AD"/>
    <w:multiLevelType w:val="singleLevel"/>
    <w:tmpl w:val="B720E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5C1115"/>
    <w:multiLevelType w:val="singleLevel"/>
    <w:tmpl w:val="BF3C0B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D763AA"/>
    <w:multiLevelType w:val="singleLevel"/>
    <w:tmpl w:val="1BD2B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810DEB"/>
    <w:multiLevelType w:val="singleLevel"/>
    <w:tmpl w:val="4E903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1A5A5C"/>
    <w:multiLevelType w:val="singleLevel"/>
    <w:tmpl w:val="F740E0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330B89"/>
    <w:multiLevelType w:val="singleLevel"/>
    <w:tmpl w:val="175C9C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5A408A"/>
    <w:multiLevelType w:val="singleLevel"/>
    <w:tmpl w:val="B720E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FD1216"/>
    <w:multiLevelType w:val="singleLevel"/>
    <w:tmpl w:val="194A6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8E7A6F"/>
    <w:multiLevelType w:val="singleLevel"/>
    <w:tmpl w:val="6ABC2F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A4721E"/>
    <w:multiLevelType w:val="singleLevel"/>
    <w:tmpl w:val="A2541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1D451E"/>
    <w:multiLevelType w:val="singleLevel"/>
    <w:tmpl w:val="EFAE9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0522FC"/>
    <w:multiLevelType w:val="singleLevel"/>
    <w:tmpl w:val="2A2C2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EF06032"/>
    <w:multiLevelType w:val="singleLevel"/>
    <w:tmpl w:val="CED2D0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761346E"/>
    <w:multiLevelType w:val="singleLevel"/>
    <w:tmpl w:val="BD4A6B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CCE5FF7"/>
    <w:multiLevelType w:val="singleLevel"/>
    <w:tmpl w:val="685E4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041405A"/>
    <w:multiLevelType w:val="singleLevel"/>
    <w:tmpl w:val="A46440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6E30B1"/>
    <w:multiLevelType w:val="singleLevel"/>
    <w:tmpl w:val="79CE37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975BAE"/>
    <w:multiLevelType w:val="singleLevel"/>
    <w:tmpl w:val="F1B41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022C2B"/>
    <w:multiLevelType w:val="singleLevel"/>
    <w:tmpl w:val="4E3A6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985B32"/>
    <w:multiLevelType w:val="singleLevel"/>
    <w:tmpl w:val="8604C8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77B624D"/>
    <w:multiLevelType w:val="singleLevel"/>
    <w:tmpl w:val="826ABE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ABE7967"/>
    <w:multiLevelType w:val="singleLevel"/>
    <w:tmpl w:val="AB22C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B580AA2"/>
    <w:multiLevelType w:val="singleLevel"/>
    <w:tmpl w:val="11761F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E511907"/>
    <w:multiLevelType w:val="singleLevel"/>
    <w:tmpl w:val="7F9272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FFA3870"/>
    <w:multiLevelType w:val="singleLevel"/>
    <w:tmpl w:val="DED077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7E507CE"/>
    <w:multiLevelType w:val="singleLevel"/>
    <w:tmpl w:val="714289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9FF2B0B"/>
    <w:multiLevelType w:val="singleLevel"/>
    <w:tmpl w:val="1DB05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1826115"/>
    <w:multiLevelType w:val="singleLevel"/>
    <w:tmpl w:val="28E09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D33EEC"/>
    <w:multiLevelType w:val="singleLevel"/>
    <w:tmpl w:val="82F44B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51B63FC"/>
    <w:multiLevelType w:val="singleLevel"/>
    <w:tmpl w:val="538CB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6C8334F"/>
    <w:multiLevelType w:val="singleLevel"/>
    <w:tmpl w:val="8C3E9A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B8B5CC2"/>
    <w:multiLevelType w:val="singleLevel"/>
    <w:tmpl w:val="EDFEB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34"/>
  </w:num>
  <w:num w:numId="4">
    <w:abstractNumId w:val="32"/>
  </w:num>
  <w:num w:numId="5">
    <w:abstractNumId w:val="6"/>
  </w:num>
  <w:num w:numId="6">
    <w:abstractNumId w:val="5"/>
  </w:num>
  <w:num w:numId="7">
    <w:abstractNumId w:val="26"/>
  </w:num>
  <w:num w:numId="8">
    <w:abstractNumId w:val="35"/>
  </w:num>
  <w:num w:numId="9">
    <w:abstractNumId w:val="14"/>
  </w:num>
  <w:num w:numId="10">
    <w:abstractNumId w:val="12"/>
  </w:num>
  <w:num w:numId="11">
    <w:abstractNumId w:val="27"/>
  </w:num>
  <w:num w:numId="12">
    <w:abstractNumId w:val="21"/>
  </w:num>
  <w:num w:numId="13">
    <w:abstractNumId w:val="0"/>
  </w:num>
  <w:num w:numId="14">
    <w:abstractNumId w:val="10"/>
  </w:num>
  <w:num w:numId="15">
    <w:abstractNumId w:val="30"/>
  </w:num>
  <w:num w:numId="16">
    <w:abstractNumId w:val="2"/>
  </w:num>
  <w:num w:numId="17">
    <w:abstractNumId w:val="22"/>
  </w:num>
  <w:num w:numId="18">
    <w:abstractNumId w:val="36"/>
  </w:num>
  <w:num w:numId="19">
    <w:abstractNumId w:val="20"/>
  </w:num>
  <w:num w:numId="20">
    <w:abstractNumId w:val="8"/>
  </w:num>
  <w:num w:numId="21">
    <w:abstractNumId w:val="31"/>
  </w:num>
  <w:num w:numId="22">
    <w:abstractNumId w:val="1"/>
  </w:num>
  <w:num w:numId="23">
    <w:abstractNumId w:val="4"/>
  </w:num>
  <w:num w:numId="24">
    <w:abstractNumId w:val="25"/>
  </w:num>
  <w:num w:numId="25">
    <w:abstractNumId w:val="19"/>
  </w:num>
  <w:num w:numId="26">
    <w:abstractNumId w:val="24"/>
  </w:num>
  <w:num w:numId="27">
    <w:abstractNumId w:val="13"/>
  </w:num>
  <w:num w:numId="28">
    <w:abstractNumId w:val="16"/>
  </w:num>
  <w:num w:numId="29">
    <w:abstractNumId w:val="11"/>
  </w:num>
  <w:num w:numId="30">
    <w:abstractNumId w:val="17"/>
  </w:num>
  <w:num w:numId="31">
    <w:abstractNumId w:val="28"/>
  </w:num>
  <w:num w:numId="32">
    <w:abstractNumId w:val="23"/>
  </w:num>
  <w:num w:numId="33">
    <w:abstractNumId w:val="33"/>
  </w:num>
  <w:num w:numId="34">
    <w:abstractNumId w:val="7"/>
  </w:num>
  <w:num w:numId="35">
    <w:abstractNumId w:val="29"/>
  </w:num>
  <w:num w:numId="36">
    <w:abstractNumId w:val="9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DF2C41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F2C4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F2C4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DB76C9-1B22-40F1-9C93-D84F3E99A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685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2026-07-17T14:14:00Z</dcterms:created>
  <dcterms:modified xsi:type="dcterms:W3CDTF">2026-07-17T14:14:00Z</dcterms:modified>
</cp:coreProperties>
</file>