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926F70B" w:rsidR="0049405C" w:rsidRPr="00C24D79" w:rsidRDefault="00864F31" w:rsidP="00864F3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64F31">
              <w:rPr>
                <w:rFonts w:ascii="等线" w:eastAsia="等线" w:hAnsi="Times New Roman"/>
                <w:b/>
                <w:color w:val="000000"/>
                <w:sz w:val="48"/>
              </w:rPr>
              <w:t>KAI WANG</w:t>
            </w:r>
            <w:bookmarkEnd w:id="0"/>
          </w:p>
          <w:p w14:paraId="706EB16B" w14:textId="16E06266" w:rsidR="0049405C" w:rsidRPr="00C24D79" w:rsidRDefault="00864F31" w:rsidP="00864F3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64F3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92BB121" w:rsidR="0049405C" w:rsidRPr="00C24D79" w:rsidRDefault="00864F31" w:rsidP="00864F3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64F31">
              <w:rPr>
                <w:rFonts w:ascii="等线" w:eastAsia="等线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5C37232A" w:rsidR="0049405C" w:rsidRPr="00C24D79" w:rsidRDefault="00864F31" w:rsidP="00864F3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64F31">
              <w:rPr>
                <w:rFonts w:ascii="等线" w:eastAsia="等线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C8593B9" w:rsidR="0049405C" w:rsidRPr="00C24D79" w:rsidRDefault="00864F3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B80F8B3" wp14:editId="12A1F7B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A4CFCD7" w:rsidR="009465FB" w:rsidRPr="00C24D79" w:rsidRDefault="00864F3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64F31">
              <w:rPr>
                <w:rFonts w:ascii="等线" w:eastAsia="等线" w:hAnsi="Times New Roman"/>
                <w:color w:val="000000"/>
                <w:szCs w:val="21"/>
              </w:rPr>
              <w:t>MR. WANG</w:t>
            </w:r>
            <w:r w:rsidRPr="00864F31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864F31">
              <w:rPr>
                <w:rFonts w:ascii="等线" w:eastAsia="等线" w:hAnsi="Times New Roman"/>
                <w:color w:val="000000"/>
                <w:szCs w:val="21"/>
              </w:rPr>
              <w:t>S PRACTICE FOCUSES MAINLY ON M&amp;A, PRIVATE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A351325" w14:textId="77777777" w:rsidR="00864F3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676A8A6" w14:textId="77777777" w:rsidR="00864F31" w:rsidRDefault="00864F31" w:rsidP="00864F3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4F31">
        <w:rPr>
          <w:rFonts w:ascii="等线" w:eastAsia="等线" w:hAnsi="等线"/>
          <w:b/>
          <w:sz w:val="24"/>
        </w:rPr>
        <w:t>REPRESENTATIVE MATTERS AND CASES</w:t>
      </w:r>
    </w:p>
    <w:p w14:paraId="68E8BB8D" w14:textId="77777777" w:rsidR="00864F31" w:rsidRDefault="00864F31" w:rsidP="00864F31">
      <w:pPr>
        <w:pStyle w:val="af5"/>
        <w:spacing w:before="12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M&amp;A</w:t>
      </w:r>
    </w:p>
    <w:p w14:paraId="537A68B6" w14:textId="77777777" w:rsidR="00864F31" w:rsidRDefault="00864F31" w:rsidP="00864F3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KKR in its acquisition of NVC Lighting</w:t>
      </w:r>
    </w:p>
    <w:p w14:paraId="52185BC8" w14:textId="77777777" w:rsidR="00864F31" w:rsidRDefault="00864F31" w:rsidP="00864F3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Asiainfo Technologies Limited (1675.HK) in its acquisition of iResearch</w:t>
      </w:r>
    </w:p>
    <w:p w14:paraId="3CB39708" w14:textId="77777777" w:rsidR="00864F31" w:rsidRDefault="00864F31" w:rsidP="00864F3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Metito in its proposed acquisition of a wastewater treatment plant</w:t>
      </w:r>
    </w:p>
    <w:p w14:paraId="28B52C93" w14:textId="77777777" w:rsidR="00864F31" w:rsidRDefault="00864F31" w:rsidP="00864F3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Kuaishou in its proposed acquisition of an online video streaming company</w:t>
      </w:r>
    </w:p>
    <w:p w14:paraId="7C0F6CF7" w14:textId="77777777" w:rsidR="00864F31" w:rsidRDefault="00864F31" w:rsidP="00864F3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China Huaneng in its acquisition of multiple photovoltaic power plants from GCL</w:t>
      </w:r>
    </w:p>
    <w:p w14:paraId="77A2FFD7" w14:textId="77777777" w:rsidR="00864F31" w:rsidRDefault="00864F31" w:rsidP="00864F3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multiple international exhibition companies in their acquisition of Chinese exhibitions</w:t>
      </w:r>
    </w:p>
    <w:p w14:paraId="368B1297" w14:textId="77777777" w:rsidR="00864F31" w:rsidRDefault="00864F31" w:rsidP="00864F3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Bytedance in its acquisition of an online English education company</w:t>
      </w:r>
    </w:p>
    <w:p w14:paraId="20A50588" w14:textId="77777777" w:rsidR="00864F31" w:rsidRDefault="00864F31" w:rsidP="00864F3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China Orient Qianhai Asset Management in its proposed acquisition of a hydropower plant</w:t>
      </w:r>
    </w:p>
    <w:p w14:paraId="504A280D" w14:textId="77777777" w:rsidR="00864F31" w:rsidRDefault="00864F31" w:rsidP="00864F31">
      <w:pPr>
        <w:pStyle w:val="af5"/>
        <w:spacing w:before="12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Private Equity and Financing</w:t>
      </w:r>
    </w:p>
    <w:p w14:paraId="0C93A4CC" w14:textId="77777777" w:rsidR="00864F31" w:rsidRDefault="00864F31" w:rsidP="00864F3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Boyu, Affinity Equity Partners, CPE and other private equity funds in their equity investments in pre-IPO companies</w:t>
      </w:r>
    </w:p>
    <w:p w14:paraId="369D7DCE" w14:textId="77777777" w:rsidR="00864F31" w:rsidRDefault="00864F31" w:rsidP="00864F3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IDG, SIG, Matrix, NIO Capital, Kinzon Capital, HUAGAI Capital, China Venture Capital, K2, NLVC and other venture capital funds in their equity investments in multiple startups</w:t>
      </w:r>
    </w:p>
    <w:p w14:paraId="230726EE" w14:textId="77777777" w:rsidR="00864F31" w:rsidRDefault="00864F31" w:rsidP="00864F3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Taikang Insurance and Sunshine Insurance in their equity investments in multiple startups</w:t>
      </w:r>
    </w:p>
    <w:p w14:paraId="082284BB" w14:textId="77777777" w:rsidR="00864F31" w:rsidRDefault="00864F31" w:rsidP="00864F3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Huangbaoche, Merrymemo, Momenta, XYZ Robotics, Daishu and other startups in their equity financings</w:t>
      </w:r>
    </w:p>
    <w:p w14:paraId="21487CCA" w14:textId="77777777" w:rsidR="00864F31" w:rsidRDefault="00864F31" w:rsidP="00864F31">
      <w:pPr>
        <w:pStyle w:val="af5"/>
        <w:spacing w:before="12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General Corporate and Restructuring</w:t>
      </w:r>
    </w:p>
    <w:p w14:paraId="73677D65" w14:textId="77777777" w:rsidR="00864F31" w:rsidRDefault="00864F31" w:rsidP="00864F3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Alibaba in forming a joint venture with Accenture</w:t>
      </w:r>
    </w:p>
    <w:p w14:paraId="7AAB5721" w14:textId="77777777" w:rsidR="00864F31" w:rsidRDefault="00864F31" w:rsidP="00864F3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Moviebook in its pre-IPO offshore restructuring</w:t>
      </w:r>
    </w:p>
    <w:p w14:paraId="38C164DF" w14:textId="77777777" w:rsidR="00864F31" w:rsidRDefault="00864F31" w:rsidP="00864F3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Daishu in its pre-IPO de-VIE restructuring</w:t>
      </w:r>
    </w:p>
    <w:p w14:paraId="2BC31999" w14:textId="77777777" w:rsidR="00864F31" w:rsidRDefault="00864F31" w:rsidP="00864F3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a US software company in spinning off its China business and financing</w:t>
      </w:r>
    </w:p>
    <w:p w14:paraId="2D3E8ACA" w14:textId="77777777" w:rsidR="00864F31" w:rsidRDefault="00864F31" w:rsidP="00864F3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Represented a state-owned electric appliance manufacturer in its reorganization and A-share listing</w:t>
      </w:r>
    </w:p>
    <w:p w14:paraId="443D03E7" w14:textId="77777777" w:rsidR="00864F31" w:rsidRDefault="00864F31" w:rsidP="00864F3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4F31">
        <w:rPr>
          <w:rFonts w:ascii="等线" w:eastAsia="等线" w:hAnsi="等线"/>
          <w:b/>
          <w:sz w:val="24"/>
        </w:rPr>
        <w:t>Education</w:t>
      </w:r>
    </w:p>
    <w:p w14:paraId="49938B56" w14:textId="77777777" w:rsidR="00864F31" w:rsidRDefault="00864F31" w:rsidP="00864F3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University of Wisconsin, Madison, J.D.</w:t>
      </w:r>
    </w:p>
    <w:p w14:paraId="5C5CB182" w14:textId="77777777" w:rsidR="00864F31" w:rsidRDefault="00864F31" w:rsidP="00864F3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Chicago-Kent College of Law, LL.M.</w:t>
      </w:r>
    </w:p>
    <w:p w14:paraId="20E512E2" w14:textId="77777777" w:rsidR="00864F31" w:rsidRDefault="00864F31" w:rsidP="00864F3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East China University of Political Science and Law, LL.B.</w:t>
      </w:r>
    </w:p>
    <w:p w14:paraId="4B0C2437" w14:textId="77777777" w:rsidR="00864F31" w:rsidRDefault="00864F31" w:rsidP="00864F3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4F31">
        <w:rPr>
          <w:rFonts w:ascii="等线" w:eastAsia="等线" w:hAnsi="等线"/>
          <w:b/>
          <w:sz w:val="24"/>
        </w:rPr>
        <w:t>Professional Qualification</w:t>
      </w:r>
    </w:p>
    <w:p w14:paraId="0E4FA7E1" w14:textId="77777777" w:rsidR="00864F31" w:rsidRDefault="00864F31" w:rsidP="00864F3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Admitted to practice in the State of New York</w:t>
      </w:r>
    </w:p>
    <w:p w14:paraId="2C4F58E1" w14:textId="77777777" w:rsidR="00864F31" w:rsidRDefault="00864F31" w:rsidP="00864F3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Admitted to practice in the State of Wisconsin</w:t>
      </w:r>
    </w:p>
    <w:p w14:paraId="47A836C9" w14:textId="77777777" w:rsidR="00864F31" w:rsidRDefault="00864F31" w:rsidP="00864F3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4F31">
        <w:rPr>
          <w:rFonts w:ascii="等线" w:eastAsia="等线" w:hAnsi="等线"/>
          <w:b/>
          <w:sz w:val="24"/>
        </w:rPr>
        <w:t>Professional Background</w:t>
      </w:r>
    </w:p>
    <w:p w14:paraId="5567FC3C" w14:textId="1B4A9164" w:rsidR="00686369" w:rsidRPr="00864F31" w:rsidRDefault="00864F31" w:rsidP="00864F3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4F31">
        <w:rPr>
          <w:rFonts w:ascii="等线" w:eastAsia="等线" w:hAnsi="Times New Roman"/>
          <w:color w:val="000000"/>
        </w:rPr>
        <w:t>Before joining Fangda Partners in 2017, Mr. Wang worked for well-known PRC law firm for a year and a half and a US law firm for one year.</w:t>
      </w:r>
    </w:p>
    <w:sectPr w:rsidR="00686369" w:rsidRPr="00864F3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6E7F"/>
    <w:multiLevelType w:val="singleLevel"/>
    <w:tmpl w:val="8C6445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6B2144"/>
    <w:multiLevelType w:val="singleLevel"/>
    <w:tmpl w:val="A31CFF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F97A76"/>
    <w:multiLevelType w:val="singleLevel"/>
    <w:tmpl w:val="94AE78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5D0488"/>
    <w:multiLevelType w:val="singleLevel"/>
    <w:tmpl w:val="69ECF7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1E3C7E"/>
    <w:multiLevelType w:val="singleLevel"/>
    <w:tmpl w:val="C0F40B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1F95E83"/>
    <w:multiLevelType w:val="singleLevel"/>
    <w:tmpl w:val="592A39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5D864BB"/>
    <w:multiLevelType w:val="singleLevel"/>
    <w:tmpl w:val="8AC672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9E54266"/>
    <w:multiLevelType w:val="singleLevel"/>
    <w:tmpl w:val="DD62A7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A0763B2"/>
    <w:multiLevelType w:val="singleLevel"/>
    <w:tmpl w:val="0D6424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AE51920"/>
    <w:multiLevelType w:val="singleLevel"/>
    <w:tmpl w:val="C9CC25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2980BF4"/>
    <w:multiLevelType w:val="singleLevel"/>
    <w:tmpl w:val="E05A6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789094A"/>
    <w:multiLevelType w:val="singleLevel"/>
    <w:tmpl w:val="A77E1F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7BF2A0F"/>
    <w:multiLevelType w:val="singleLevel"/>
    <w:tmpl w:val="592A0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1795703"/>
    <w:multiLevelType w:val="singleLevel"/>
    <w:tmpl w:val="086A38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3010586"/>
    <w:multiLevelType w:val="singleLevel"/>
    <w:tmpl w:val="9DBCA4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B0E708D"/>
    <w:multiLevelType w:val="singleLevel"/>
    <w:tmpl w:val="2D7079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E936D2D"/>
    <w:multiLevelType w:val="singleLevel"/>
    <w:tmpl w:val="4A98F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67E2F95"/>
    <w:multiLevelType w:val="singleLevel"/>
    <w:tmpl w:val="C34231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D1C2757"/>
    <w:multiLevelType w:val="singleLevel"/>
    <w:tmpl w:val="DB6A0F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20F079F"/>
    <w:multiLevelType w:val="singleLevel"/>
    <w:tmpl w:val="526E9C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3E01D45"/>
    <w:multiLevelType w:val="singleLevel"/>
    <w:tmpl w:val="A39065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5B6228C"/>
    <w:multiLevelType w:val="singleLevel"/>
    <w:tmpl w:val="8AEC25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6877BD1"/>
    <w:multiLevelType w:val="singleLevel"/>
    <w:tmpl w:val="2D7079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F135E4B"/>
    <w:multiLevelType w:val="singleLevel"/>
    <w:tmpl w:val="535EB5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12"/>
  </w:num>
  <w:num w:numId="5">
    <w:abstractNumId w:val="25"/>
  </w:num>
  <w:num w:numId="6">
    <w:abstractNumId w:val="20"/>
  </w:num>
  <w:num w:numId="7">
    <w:abstractNumId w:val="6"/>
  </w:num>
  <w:num w:numId="8">
    <w:abstractNumId w:val="0"/>
  </w:num>
  <w:num w:numId="9">
    <w:abstractNumId w:val="3"/>
  </w:num>
  <w:num w:numId="10">
    <w:abstractNumId w:val="21"/>
  </w:num>
  <w:num w:numId="11">
    <w:abstractNumId w:val="23"/>
  </w:num>
  <w:num w:numId="12">
    <w:abstractNumId w:val="18"/>
  </w:num>
  <w:num w:numId="13">
    <w:abstractNumId w:val="19"/>
  </w:num>
  <w:num w:numId="14">
    <w:abstractNumId w:val="16"/>
  </w:num>
  <w:num w:numId="15">
    <w:abstractNumId w:val="9"/>
  </w:num>
  <w:num w:numId="16">
    <w:abstractNumId w:val="10"/>
  </w:num>
  <w:num w:numId="17">
    <w:abstractNumId w:val="13"/>
  </w:num>
  <w:num w:numId="18">
    <w:abstractNumId w:val="2"/>
  </w:num>
  <w:num w:numId="19">
    <w:abstractNumId w:val="1"/>
  </w:num>
  <w:num w:numId="20">
    <w:abstractNumId w:val="4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4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64F31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64F3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64F3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CD1DD64-F472-4074-B1E6-921112F13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2026-09-17T21:17:00Z</dcterms:created>
  <dcterms:modified xsi:type="dcterms:W3CDTF">2026-09-17T21:17:00Z</dcterms:modified>
</cp:coreProperties>
</file>