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9508423" w:rsidR="0049405C" w:rsidRPr="00C24D79" w:rsidRDefault="00E0747E" w:rsidP="00E0747E">
            <w:pPr>
              <w:spacing w:line="720" w:lineRule="auto"/>
              <w:rPr>
                <w:rFonts w:eastAsiaTheme="minorHAnsi"/>
                <w:color w:val="545551"/>
              </w:rPr>
            </w:pPr>
            <w:bookmarkStart w:id="0" w:name="xingming"/>
            <w:bookmarkStart w:id="1" w:name="_GoBack"/>
            <w:bookmarkEnd w:id="1"/>
            <w:r w:rsidRPr="00E0747E">
              <w:rPr>
                <w:rFonts w:ascii="等线" w:eastAsia="等线" w:hAnsi="Times New Roman"/>
                <w:b/>
                <w:color w:val="000000"/>
                <w:sz w:val="48"/>
              </w:rPr>
              <w:t>JOY WONG</w:t>
            </w:r>
            <w:bookmarkEnd w:id="0"/>
          </w:p>
          <w:p w14:paraId="706EB16B" w14:textId="10EA091C" w:rsidR="0049405C" w:rsidRPr="00C24D79" w:rsidRDefault="00E0747E" w:rsidP="00E0747E">
            <w:pPr>
              <w:spacing w:line="360" w:lineRule="auto"/>
              <w:rPr>
                <w:rFonts w:eastAsiaTheme="minorHAnsi"/>
                <w:b/>
                <w:bCs/>
                <w:color w:val="545551"/>
              </w:rPr>
            </w:pPr>
            <w:bookmarkStart w:id="2" w:name="didian"/>
            <w:r w:rsidRPr="00E0747E">
              <w:rPr>
                <w:rFonts w:ascii="等线" w:eastAsia="等线" w:hAnsi="Times New Roman"/>
                <w:b/>
                <w:bCs/>
                <w:color w:val="000000"/>
              </w:rPr>
              <w:t>Counsel</w:t>
            </w:r>
            <w:r w:rsidRPr="00E0747E">
              <w:rPr>
                <w:rFonts w:ascii="等线" w:eastAsia="等线" w:hAnsi="Times New Roman"/>
                <w:b/>
                <w:bCs/>
                <w:color w:val="000000"/>
              </w:rPr>
              <w:t>·</w:t>
            </w:r>
            <w:r w:rsidRPr="00E0747E">
              <w:rPr>
                <w:rFonts w:ascii="等线" w:eastAsia="等线" w:hAnsi="Times New Roman"/>
                <w:b/>
                <w:bCs/>
                <w:color w:val="000000"/>
              </w:rPr>
              <w:t>Hong Kong</w:t>
            </w:r>
            <w:bookmarkEnd w:id="2"/>
          </w:p>
          <w:p w14:paraId="6199424A" w14:textId="7D6C3B34" w:rsidR="0049405C" w:rsidRPr="00C24D79" w:rsidRDefault="00E0747E" w:rsidP="00E0747E">
            <w:pPr>
              <w:spacing w:line="360" w:lineRule="auto"/>
              <w:rPr>
                <w:rFonts w:eastAsiaTheme="minorHAnsi"/>
                <w:color w:val="545551"/>
              </w:rPr>
            </w:pPr>
            <w:bookmarkStart w:id="3" w:name="dianhua"/>
            <w:r w:rsidRPr="00E0747E">
              <w:rPr>
                <w:rFonts w:ascii="等线" w:eastAsia="等线" w:hAnsi="Times New Roman"/>
                <w:color w:val="000000"/>
              </w:rPr>
              <w:t xml:space="preserve">+852 3976 8841 </w:t>
            </w:r>
            <w:bookmarkEnd w:id="3"/>
          </w:p>
          <w:p w14:paraId="4F910ACA" w14:textId="3C283765" w:rsidR="0049405C" w:rsidRPr="00C24D79" w:rsidRDefault="00E0747E" w:rsidP="00E0747E">
            <w:pPr>
              <w:spacing w:line="360" w:lineRule="auto"/>
              <w:rPr>
                <w:rFonts w:eastAsiaTheme="minorHAnsi"/>
                <w:color w:val="000000"/>
              </w:rPr>
            </w:pPr>
            <w:bookmarkStart w:id="4" w:name="youxiang"/>
            <w:r w:rsidRPr="00E0747E">
              <w:rPr>
                <w:rFonts w:ascii="等线" w:eastAsia="等线" w:hAnsi="Times New Roman"/>
                <w:color w:val="000000"/>
              </w:rPr>
              <w:t>joy.wong@fangdalaw.com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03F2AF5" w:rsidR="0049405C" w:rsidRPr="00C24D79" w:rsidRDefault="00E0747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25F9FBD" wp14:editId="0A1A7392">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251DD87" w:rsidR="009465FB" w:rsidRPr="00C24D79" w:rsidRDefault="00E0747E" w:rsidP="007177F3">
            <w:pPr>
              <w:rPr>
                <w:rFonts w:eastAsiaTheme="minorHAnsi"/>
                <w:color w:val="000000"/>
                <w:szCs w:val="21"/>
              </w:rPr>
            </w:pPr>
            <w:bookmarkStart w:id="6" w:name="zhiyelingyu"/>
            <w:r w:rsidRPr="00E0747E">
              <w:rPr>
                <w:rFonts w:ascii="等线" w:eastAsia="等线" w:hAnsi="Times New Roman"/>
                <w:color w:val="000000"/>
                <w:szCs w:val="21"/>
              </w:rPr>
              <w:t>MS. WONG SPECIALIZES IN ANTITRUST AND COMPETITION LAW. HER PRACTICE FOCUSES ON MERGER CONTROL, ANTITRUST COMPLIANCE, AND INVESTIGATIONS. SHE ADVISES CLIENTS ON BOTH PRC AND HONG KONG COMPETITION MATTERS, AS WELL AS ON MULTI-JURISDICTIONAL PROJECTS COVERING BOTH TRANSACTIONAL AND COMPLIANCE ASPECTS.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DD1CBEA" w14:textId="77777777" w:rsidR="00E0747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3BE562" w14:textId="77777777" w:rsidR="00E0747E" w:rsidRDefault="00E0747E" w:rsidP="00E0747E">
      <w:pPr>
        <w:pStyle w:val="af5"/>
        <w:spacing w:after="0" w:line="480" w:lineRule="auto"/>
        <w:rPr>
          <w:rFonts w:ascii="等线" w:eastAsia="等线" w:hAnsi="等线"/>
          <w:b/>
          <w:sz w:val="24"/>
        </w:rPr>
      </w:pPr>
      <w:r w:rsidRPr="00E0747E">
        <w:rPr>
          <w:rFonts w:ascii="等线" w:eastAsia="等线" w:hAnsi="等线"/>
          <w:b/>
          <w:sz w:val="24"/>
        </w:rPr>
        <w:t>REPRESENTATIVE MATTERS AND CASES</w:t>
      </w:r>
    </w:p>
    <w:p w14:paraId="63DD6029" w14:textId="77777777" w:rsidR="00E0747E" w:rsidRDefault="00E0747E" w:rsidP="00E0747E">
      <w:pPr>
        <w:pStyle w:val="af5"/>
        <w:spacing w:before="120"/>
        <w:rPr>
          <w:rFonts w:ascii="等线" w:eastAsia="等线" w:hAnsi="Times New Roman"/>
          <w:color w:val="000000"/>
        </w:rPr>
      </w:pPr>
      <w:r w:rsidRPr="00E0747E">
        <w:rPr>
          <w:rFonts w:ascii="等线" w:eastAsia="等线" w:hAnsi="Times New Roman"/>
          <w:color w:val="000000"/>
        </w:rPr>
        <w:t>PRC merger control</w:t>
      </w:r>
    </w:p>
    <w:p w14:paraId="23CB8F65" w14:textId="77777777" w:rsidR="00E0747E" w:rsidRDefault="00E0747E" w:rsidP="00E0747E">
      <w:pPr>
        <w:pStyle w:val="af5"/>
        <w:numPr>
          <w:ilvl w:val="0"/>
          <w:numId w:val="1"/>
        </w:numPr>
        <w:spacing w:before="120"/>
        <w:ind w:left="690" w:hanging="240"/>
        <w:rPr>
          <w:rFonts w:ascii="等线" w:eastAsia="等线" w:hAnsi="Times New Roman"/>
          <w:color w:val="000000"/>
        </w:rPr>
      </w:pPr>
      <w:r w:rsidRPr="00E0747E">
        <w:rPr>
          <w:rFonts w:ascii="等线" w:eastAsia="等线" w:hAnsi="Times New Roman"/>
          <w:color w:val="000000"/>
        </w:rPr>
        <w:t>Sumitomo Corporation, SMBC Aviation Capital, Apollo and Brookfield's acquisition of equity interest in Air Lease Corporation</w:t>
      </w:r>
    </w:p>
    <w:p w14:paraId="307ED9FE" w14:textId="77777777" w:rsidR="00E0747E" w:rsidRDefault="00E0747E" w:rsidP="00E0747E">
      <w:pPr>
        <w:pStyle w:val="af5"/>
        <w:numPr>
          <w:ilvl w:val="0"/>
          <w:numId w:val="2"/>
        </w:numPr>
        <w:spacing w:before="120"/>
        <w:ind w:left="690" w:hanging="240"/>
        <w:rPr>
          <w:rFonts w:ascii="等线" w:eastAsia="等线" w:hAnsi="Times New Roman"/>
          <w:color w:val="000000"/>
        </w:rPr>
      </w:pPr>
      <w:r w:rsidRPr="00E0747E">
        <w:rPr>
          <w:rFonts w:ascii="等线" w:eastAsia="等线" w:hAnsi="Times New Roman"/>
          <w:color w:val="000000"/>
        </w:rPr>
        <w:t>Baker Hughes</w:t>
      </w:r>
      <w:r w:rsidRPr="00E0747E">
        <w:rPr>
          <w:rFonts w:ascii="等线" w:eastAsia="等线" w:hAnsi="Times New Roman"/>
          <w:color w:val="000000"/>
        </w:rPr>
        <w:t>’</w:t>
      </w:r>
      <w:r w:rsidRPr="00E0747E">
        <w:rPr>
          <w:rFonts w:ascii="等线" w:eastAsia="等线" w:hAnsi="Times New Roman"/>
          <w:color w:val="000000"/>
        </w:rPr>
        <w:t xml:space="preserve"> acquisition of equity interests in Chart Industries</w:t>
      </w:r>
    </w:p>
    <w:p w14:paraId="7E919139" w14:textId="77777777" w:rsidR="00E0747E" w:rsidRDefault="00E0747E" w:rsidP="00E0747E">
      <w:pPr>
        <w:pStyle w:val="af5"/>
        <w:numPr>
          <w:ilvl w:val="0"/>
          <w:numId w:val="3"/>
        </w:numPr>
        <w:spacing w:before="120"/>
        <w:ind w:left="690" w:hanging="240"/>
        <w:rPr>
          <w:rFonts w:ascii="等线" w:eastAsia="等线" w:hAnsi="Times New Roman"/>
          <w:color w:val="000000"/>
        </w:rPr>
      </w:pPr>
      <w:r w:rsidRPr="00E0747E">
        <w:rPr>
          <w:rFonts w:ascii="等线" w:eastAsia="等线" w:hAnsi="Times New Roman"/>
          <w:color w:val="000000"/>
        </w:rPr>
        <w:t>Allison Transmission Holdings</w:t>
      </w:r>
      <w:r w:rsidRPr="00E0747E">
        <w:rPr>
          <w:rFonts w:ascii="等线" w:eastAsia="等线" w:hAnsi="Times New Roman"/>
          <w:color w:val="000000"/>
        </w:rPr>
        <w:t>’</w:t>
      </w:r>
      <w:r w:rsidRPr="00E0747E">
        <w:rPr>
          <w:rFonts w:ascii="等线" w:eastAsia="等线" w:hAnsi="Times New Roman"/>
          <w:color w:val="000000"/>
        </w:rPr>
        <w:t xml:space="preserve"> acquisition of Off-Highway Business from Dana Incorporated</w:t>
      </w:r>
    </w:p>
    <w:p w14:paraId="2A80756A" w14:textId="77777777" w:rsidR="00E0747E" w:rsidRDefault="00E0747E" w:rsidP="00E0747E">
      <w:pPr>
        <w:pStyle w:val="af5"/>
        <w:numPr>
          <w:ilvl w:val="0"/>
          <w:numId w:val="4"/>
        </w:numPr>
        <w:spacing w:before="120"/>
        <w:ind w:left="690" w:hanging="240"/>
        <w:rPr>
          <w:rFonts w:ascii="等线" w:eastAsia="等线" w:hAnsi="Times New Roman"/>
          <w:color w:val="000000"/>
        </w:rPr>
      </w:pPr>
      <w:r w:rsidRPr="00E0747E">
        <w:rPr>
          <w:rFonts w:ascii="等线" w:eastAsia="等线" w:hAnsi="Times New Roman"/>
          <w:color w:val="000000"/>
        </w:rPr>
        <w:t>Hong Kong International Airport on its acquisition of equity interests in Zhuhai Airport.</w:t>
      </w:r>
    </w:p>
    <w:p w14:paraId="6955370B" w14:textId="77777777" w:rsidR="00E0747E" w:rsidRDefault="00E0747E" w:rsidP="00E0747E">
      <w:pPr>
        <w:pStyle w:val="af5"/>
        <w:numPr>
          <w:ilvl w:val="0"/>
          <w:numId w:val="5"/>
        </w:numPr>
        <w:spacing w:before="120"/>
        <w:ind w:left="690" w:hanging="240"/>
        <w:rPr>
          <w:rFonts w:ascii="等线" w:eastAsia="等线" w:hAnsi="Times New Roman"/>
          <w:color w:val="000000"/>
        </w:rPr>
      </w:pPr>
      <w:r w:rsidRPr="00E0747E">
        <w:rPr>
          <w:rFonts w:ascii="等线" w:eastAsia="等线" w:hAnsi="Times New Roman"/>
          <w:color w:val="000000"/>
        </w:rPr>
        <w:t>Mindray Bio-Medical on its acquisition of equity interests in Huitai Medical.</w:t>
      </w:r>
    </w:p>
    <w:p w14:paraId="7BA59B59" w14:textId="77777777" w:rsidR="00E0747E" w:rsidRDefault="00E0747E" w:rsidP="00E0747E">
      <w:pPr>
        <w:pStyle w:val="af5"/>
        <w:numPr>
          <w:ilvl w:val="0"/>
          <w:numId w:val="6"/>
        </w:numPr>
        <w:spacing w:before="120"/>
        <w:ind w:left="690" w:hanging="240"/>
        <w:rPr>
          <w:rFonts w:ascii="等线" w:eastAsia="等线" w:hAnsi="Times New Roman"/>
          <w:color w:val="000000"/>
        </w:rPr>
      </w:pPr>
      <w:r w:rsidRPr="00E0747E">
        <w:rPr>
          <w:rFonts w:ascii="等线" w:eastAsia="等线" w:hAnsi="Times New Roman"/>
          <w:color w:val="000000"/>
        </w:rPr>
        <w:t>Saudi Aramco, Linde and SLB New Energy on their carbon capture and storage joint venture.</w:t>
      </w:r>
    </w:p>
    <w:p w14:paraId="1159AFE9" w14:textId="77777777" w:rsidR="00E0747E" w:rsidRDefault="00E0747E" w:rsidP="00E0747E">
      <w:pPr>
        <w:pStyle w:val="af5"/>
        <w:numPr>
          <w:ilvl w:val="0"/>
          <w:numId w:val="7"/>
        </w:numPr>
        <w:spacing w:before="120"/>
        <w:ind w:left="690" w:hanging="240"/>
        <w:rPr>
          <w:rFonts w:ascii="等线" w:eastAsia="等线" w:hAnsi="Times New Roman"/>
          <w:color w:val="000000"/>
        </w:rPr>
      </w:pPr>
      <w:r w:rsidRPr="00E0747E">
        <w:rPr>
          <w:rFonts w:ascii="等线" w:eastAsia="等线" w:hAnsi="Times New Roman"/>
          <w:color w:val="000000"/>
        </w:rPr>
        <w:t>Henan Airport Group and Lufthansa AG on the establishment of a joint venture to provide airport cargo terminal services.</w:t>
      </w:r>
    </w:p>
    <w:p w14:paraId="381ECBF6" w14:textId="77777777" w:rsidR="00E0747E" w:rsidRDefault="00E0747E" w:rsidP="00E0747E">
      <w:pPr>
        <w:pStyle w:val="af5"/>
        <w:numPr>
          <w:ilvl w:val="0"/>
          <w:numId w:val="8"/>
        </w:numPr>
        <w:spacing w:before="120"/>
        <w:ind w:left="690" w:hanging="240"/>
        <w:rPr>
          <w:rFonts w:ascii="等线" w:eastAsia="等线" w:hAnsi="Times New Roman"/>
          <w:color w:val="000000"/>
        </w:rPr>
      </w:pPr>
      <w:r w:rsidRPr="00E0747E">
        <w:rPr>
          <w:rFonts w:ascii="等线" w:eastAsia="等线" w:hAnsi="Times New Roman"/>
          <w:color w:val="000000"/>
        </w:rPr>
        <w:t>Hong Kong Airport Authority and Dongguan Port Group on their joint venture to develop the Dongguan</w:t>
      </w:r>
      <w:r w:rsidRPr="00E0747E">
        <w:rPr>
          <w:rFonts w:ascii="等线" w:eastAsia="等线" w:hAnsi="Times New Roman"/>
          <w:color w:val="000000"/>
        </w:rPr>
        <w:t>–</w:t>
      </w:r>
      <w:r w:rsidRPr="00E0747E">
        <w:rPr>
          <w:rFonts w:ascii="等线" w:eastAsia="等线" w:hAnsi="Times New Roman"/>
          <w:color w:val="000000"/>
        </w:rPr>
        <w:t>Hong Kong International Airport Logistics Park.</w:t>
      </w:r>
    </w:p>
    <w:p w14:paraId="41DEB314" w14:textId="77777777" w:rsidR="00E0747E" w:rsidRDefault="00E0747E" w:rsidP="00E0747E">
      <w:pPr>
        <w:pStyle w:val="af5"/>
        <w:numPr>
          <w:ilvl w:val="0"/>
          <w:numId w:val="9"/>
        </w:numPr>
        <w:spacing w:before="120"/>
        <w:ind w:left="690" w:hanging="240"/>
        <w:rPr>
          <w:rFonts w:ascii="等线" w:eastAsia="等线" w:hAnsi="Times New Roman"/>
          <w:color w:val="000000"/>
        </w:rPr>
      </w:pPr>
      <w:r w:rsidRPr="00E0747E">
        <w:rPr>
          <w:rFonts w:ascii="等线" w:eastAsia="等线" w:hAnsi="Times New Roman"/>
          <w:color w:val="000000"/>
        </w:rPr>
        <w:t>Goldman Sachs on various investments in the internet and real estate sectors.</w:t>
      </w:r>
    </w:p>
    <w:p w14:paraId="42196F4A" w14:textId="77777777" w:rsidR="00E0747E" w:rsidRDefault="00E0747E" w:rsidP="00E0747E">
      <w:pPr>
        <w:pStyle w:val="af5"/>
        <w:numPr>
          <w:ilvl w:val="0"/>
          <w:numId w:val="10"/>
        </w:numPr>
        <w:spacing w:before="120"/>
        <w:ind w:left="690" w:hanging="240"/>
        <w:rPr>
          <w:rFonts w:ascii="等线" w:eastAsia="等线" w:hAnsi="Times New Roman"/>
          <w:color w:val="000000"/>
        </w:rPr>
      </w:pPr>
      <w:r w:rsidRPr="00E0747E">
        <w:rPr>
          <w:rFonts w:ascii="等线" w:eastAsia="等线" w:hAnsi="Times New Roman"/>
          <w:color w:val="000000"/>
        </w:rPr>
        <w:t>Ocean Network Express (ONE) on its acquisition of interests in two container terminals in the United States.</w:t>
      </w:r>
    </w:p>
    <w:p w14:paraId="45B82351" w14:textId="77777777" w:rsidR="00E0747E" w:rsidRDefault="00E0747E" w:rsidP="00E0747E">
      <w:pPr>
        <w:pStyle w:val="af5"/>
        <w:numPr>
          <w:ilvl w:val="0"/>
          <w:numId w:val="11"/>
        </w:numPr>
        <w:spacing w:before="120"/>
        <w:ind w:left="690" w:hanging="240"/>
        <w:rPr>
          <w:rFonts w:ascii="等线" w:eastAsia="等线" w:hAnsi="Times New Roman"/>
          <w:color w:val="000000"/>
        </w:rPr>
      </w:pPr>
      <w:r w:rsidRPr="00E0747E">
        <w:rPr>
          <w:rFonts w:ascii="等线" w:eastAsia="等线" w:hAnsi="Times New Roman"/>
          <w:color w:val="000000"/>
        </w:rPr>
        <w:t>Hutchison Ports, COSCO, and CMA CGM on the establishment of a joint venture in Egypt.</w:t>
      </w:r>
    </w:p>
    <w:p w14:paraId="678798F2" w14:textId="77777777" w:rsidR="00E0747E" w:rsidRDefault="00E0747E" w:rsidP="00E0747E">
      <w:pPr>
        <w:pStyle w:val="af5"/>
        <w:numPr>
          <w:ilvl w:val="0"/>
          <w:numId w:val="12"/>
        </w:numPr>
        <w:spacing w:before="120"/>
        <w:ind w:left="690" w:hanging="240"/>
        <w:rPr>
          <w:rFonts w:ascii="等线" w:eastAsia="等线" w:hAnsi="Times New Roman"/>
          <w:color w:val="000000"/>
        </w:rPr>
      </w:pPr>
      <w:r w:rsidRPr="00E0747E">
        <w:rPr>
          <w:rFonts w:ascii="等线" w:eastAsia="等线" w:hAnsi="Times New Roman"/>
          <w:color w:val="000000"/>
        </w:rPr>
        <w:t>Swire on its acquisition of interests in six bottling companies from Coca-Cola.</w:t>
      </w:r>
    </w:p>
    <w:p w14:paraId="4FE53880" w14:textId="77777777" w:rsidR="00E0747E" w:rsidRDefault="00E0747E" w:rsidP="00E0747E">
      <w:pPr>
        <w:pStyle w:val="af5"/>
        <w:numPr>
          <w:ilvl w:val="0"/>
          <w:numId w:val="13"/>
        </w:numPr>
        <w:spacing w:before="120"/>
        <w:ind w:left="690" w:hanging="240"/>
        <w:rPr>
          <w:rFonts w:ascii="等线" w:eastAsia="等线" w:hAnsi="Times New Roman"/>
          <w:color w:val="000000"/>
        </w:rPr>
      </w:pPr>
      <w:r w:rsidRPr="00E0747E">
        <w:rPr>
          <w:rFonts w:ascii="等线" w:eastAsia="等线" w:hAnsi="Times New Roman"/>
          <w:color w:val="000000"/>
        </w:rPr>
        <w:t>Blackstone on investments in the education and real estate sectors.</w:t>
      </w:r>
    </w:p>
    <w:p w14:paraId="3C9A15B5" w14:textId="77777777" w:rsidR="00E0747E" w:rsidRDefault="00E0747E" w:rsidP="00E0747E">
      <w:pPr>
        <w:pStyle w:val="af5"/>
        <w:numPr>
          <w:ilvl w:val="0"/>
          <w:numId w:val="14"/>
        </w:numPr>
        <w:spacing w:before="120"/>
        <w:ind w:left="690" w:hanging="240"/>
        <w:rPr>
          <w:rFonts w:ascii="等线" w:eastAsia="等线" w:hAnsi="Times New Roman"/>
          <w:color w:val="000000"/>
        </w:rPr>
      </w:pPr>
      <w:r w:rsidRPr="00E0747E">
        <w:rPr>
          <w:rFonts w:ascii="等线" w:eastAsia="等线" w:hAnsi="Times New Roman"/>
          <w:color w:val="000000"/>
        </w:rPr>
        <w:t>CBC Group, Mubadala, GS Group, and IMM Investment Corp. on their investment in global cosmetics business Hugel.</w:t>
      </w:r>
    </w:p>
    <w:p w14:paraId="486D0AA1" w14:textId="77777777" w:rsidR="00E0747E" w:rsidRDefault="00E0747E" w:rsidP="00E0747E">
      <w:pPr>
        <w:pStyle w:val="af5"/>
        <w:numPr>
          <w:ilvl w:val="0"/>
          <w:numId w:val="15"/>
        </w:numPr>
        <w:spacing w:before="120"/>
        <w:ind w:left="690" w:hanging="240"/>
        <w:rPr>
          <w:rFonts w:ascii="等线" w:eastAsia="等线" w:hAnsi="Times New Roman"/>
          <w:color w:val="000000"/>
        </w:rPr>
      </w:pPr>
      <w:r w:rsidRPr="00E0747E">
        <w:rPr>
          <w:rFonts w:ascii="等线" w:eastAsia="等线" w:hAnsi="Times New Roman"/>
          <w:color w:val="000000"/>
        </w:rPr>
        <w:t>Sequoia Capital and Envision Group on the establishment of an investment joint venture.</w:t>
      </w:r>
    </w:p>
    <w:p w14:paraId="0FB07F7A" w14:textId="77777777" w:rsidR="00E0747E" w:rsidRDefault="00E0747E" w:rsidP="00E0747E">
      <w:pPr>
        <w:pStyle w:val="af5"/>
        <w:numPr>
          <w:ilvl w:val="0"/>
          <w:numId w:val="16"/>
        </w:numPr>
        <w:spacing w:before="120"/>
        <w:ind w:left="690" w:hanging="240"/>
        <w:rPr>
          <w:rFonts w:ascii="等线" w:eastAsia="等线" w:hAnsi="Times New Roman"/>
          <w:color w:val="000000"/>
        </w:rPr>
      </w:pPr>
      <w:r w:rsidRPr="00E0747E">
        <w:rPr>
          <w:rFonts w:ascii="等线" w:eastAsia="等线" w:hAnsi="Times New Roman"/>
          <w:color w:val="000000"/>
        </w:rPr>
        <w:t>Brose on its acquisition of equity interests in auto parts manufacturer SITECH.</w:t>
      </w:r>
    </w:p>
    <w:p w14:paraId="7289542E" w14:textId="77777777" w:rsidR="00E0747E" w:rsidRDefault="00E0747E" w:rsidP="00E0747E">
      <w:pPr>
        <w:pStyle w:val="af5"/>
        <w:numPr>
          <w:ilvl w:val="0"/>
          <w:numId w:val="17"/>
        </w:numPr>
        <w:spacing w:before="120"/>
        <w:ind w:left="690" w:hanging="240"/>
        <w:rPr>
          <w:rFonts w:ascii="等线" w:eastAsia="等线" w:hAnsi="Times New Roman"/>
          <w:color w:val="000000"/>
        </w:rPr>
      </w:pPr>
      <w:r w:rsidRPr="00E0747E">
        <w:rPr>
          <w:rFonts w:ascii="等线" w:eastAsia="等线" w:hAnsi="Times New Roman"/>
          <w:color w:val="000000"/>
        </w:rPr>
        <w:t>Siemens AG and Macquarie Group on the establishment of a joint venture active in the energy sector.</w:t>
      </w:r>
    </w:p>
    <w:p w14:paraId="5E938EAB" w14:textId="77777777" w:rsidR="00E0747E" w:rsidRDefault="00E0747E" w:rsidP="00E0747E">
      <w:pPr>
        <w:pStyle w:val="af5"/>
        <w:numPr>
          <w:ilvl w:val="0"/>
          <w:numId w:val="18"/>
        </w:numPr>
        <w:spacing w:before="120"/>
        <w:ind w:left="690" w:hanging="240"/>
        <w:rPr>
          <w:rFonts w:ascii="等线" w:eastAsia="等线" w:hAnsi="Times New Roman"/>
          <w:color w:val="000000"/>
        </w:rPr>
      </w:pPr>
      <w:r w:rsidRPr="00E0747E">
        <w:rPr>
          <w:rFonts w:ascii="等线" w:eastAsia="等线" w:hAnsi="Times New Roman"/>
          <w:color w:val="000000"/>
        </w:rPr>
        <w:t>WABCO on the PRC merger filing process for ZF Friedrichshafen AG's acquisition of WABCO's businesses, which resulted in conditional clearance in China.</w:t>
      </w:r>
    </w:p>
    <w:p w14:paraId="55C5F30B" w14:textId="77777777" w:rsidR="00E0747E" w:rsidRDefault="00E0747E" w:rsidP="00E0747E">
      <w:pPr>
        <w:pStyle w:val="af5"/>
        <w:numPr>
          <w:ilvl w:val="0"/>
          <w:numId w:val="19"/>
        </w:numPr>
        <w:spacing w:before="120"/>
        <w:ind w:left="690" w:hanging="240"/>
        <w:rPr>
          <w:rFonts w:ascii="等线" w:eastAsia="等线" w:hAnsi="Times New Roman"/>
          <w:color w:val="000000"/>
        </w:rPr>
      </w:pPr>
      <w:r w:rsidRPr="00E0747E">
        <w:rPr>
          <w:rFonts w:ascii="等线" w:eastAsia="等线" w:hAnsi="Times New Roman"/>
          <w:color w:val="000000"/>
        </w:rPr>
        <w:t>Boeing on the PRC merger filing for its proposed acquisition of Embraer.</w:t>
      </w:r>
    </w:p>
    <w:p w14:paraId="23F94BC7" w14:textId="77777777" w:rsidR="00E0747E" w:rsidRDefault="00E0747E" w:rsidP="00E0747E">
      <w:pPr>
        <w:pStyle w:val="af5"/>
        <w:spacing w:before="120"/>
        <w:rPr>
          <w:rFonts w:ascii="等线" w:eastAsia="等线" w:hAnsi="Times New Roman"/>
          <w:color w:val="000000"/>
        </w:rPr>
      </w:pPr>
      <w:r w:rsidRPr="00E0747E">
        <w:rPr>
          <w:rFonts w:ascii="等线" w:eastAsia="等线" w:hAnsi="Times New Roman"/>
          <w:color w:val="000000"/>
        </w:rPr>
        <w:t>Multi-jurisdictional merger assessment and filings</w:t>
      </w:r>
    </w:p>
    <w:p w14:paraId="2FAD5438" w14:textId="77777777" w:rsidR="00E0747E" w:rsidRDefault="00E0747E" w:rsidP="00E0747E">
      <w:pPr>
        <w:pStyle w:val="af5"/>
        <w:numPr>
          <w:ilvl w:val="0"/>
          <w:numId w:val="20"/>
        </w:numPr>
        <w:spacing w:before="120"/>
        <w:ind w:left="690" w:hanging="240"/>
        <w:rPr>
          <w:rFonts w:ascii="等线" w:eastAsia="等线" w:hAnsi="Times New Roman"/>
          <w:color w:val="000000"/>
        </w:rPr>
      </w:pPr>
      <w:r w:rsidRPr="00E0747E">
        <w:rPr>
          <w:rFonts w:ascii="等线" w:eastAsia="等线" w:hAnsi="Times New Roman"/>
          <w:color w:val="000000"/>
        </w:rPr>
        <w:t>Anta Group on the global competition filing analysis for its acquisition of an overseas sports brand, coordinating antitrust filings in multiple jurisdictions.</w:t>
      </w:r>
    </w:p>
    <w:p w14:paraId="2020DD7D" w14:textId="77777777" w:rsidR="00E0747E" w:rsidRDefault="00E0747E" w:rsidP="00E0747E">
      <w:pPr>
        <w:pStyle w:val="af5"/>
        <w:numPr>
          <w:ilvl w:val="0"/>
          <w:numId w:val="21"/>
        </w:numPr>
        <w:spacing w:before="120"/>
        <w:ind w:left="690" w:hanging="240"/>
        <w:rPr>
          <w:rFonts w:ascii="等线" w:eastAsia="等线" w:hAnsi="Times New Roman"/>
          <w:color w:val="000000"/>
        </w:rPr>
      </w:pPr>
      <w:r w:rsidRPr="00E0747E">
        <w:rPr>
          <w:rFonts w:ascii="等线" w:eastAsia="等线" w:hAnsi="Times New Roman"/>
          <w:color w:val="000000"/>
        </w:rPr>
        <w:t>TCL Technology Group Corporation and its subsidiary TCL China Star Optoelectronics Technology Co., Ltd. on the global competition filing analysis for its acquisition of LG Display's China LCD panel business, completing the filing in China and coordinating antitrust filings in multiple jurisdictions.</w:t>
      </w:r>
    </w:p>
    <w:p w14:paraId="72EB1F25" w14:textId="77777777" w:rsidR="00E0747E" w:rsidRDefault="00E0747E" w:rsidP="00E0747E">
      <w:pPr>
        <w:pStyle w:val="af5"/>
        <w:numPr>
          <w:ilvl w:val="0"/>
          <w:numId w:val="22"/>
        </w:numPr>
        <w:spacing w:before="120"/>
        <w:ind w:left="690" w:hanging="240"/>
        <w:rPr>
          <w:rFonts w:ascii="等线" w:eastAsia="等线" w:hAnsi="Times New Roman"/>
          <w:color w:val="000000"/>
        </w:rPr>
      </w:pPr>
      <w:r w:rsidRPr="00E0747E">
        <w:rPr>
          <w:rFonts w:ascii="等线" w:eastAsia="等线" w:hAnsi="Times New Roman"/>
          <w:color w:val="000000"/>
        </w:rPr>
        <w:t>Generali Group on the global competition filing analysis for its acquisition of equity interests in Generali China Insurance, coordinating antitrust filings in multiple jurisdictions.</w:t>
      </w:r>
    </w:p>
    <w:p w14:paraId="4B4F11A7" w14:textId="77777777" w:rsidR="00E0747E" w:rsidRDefault="00E0747E" w:rsidP="00E0747E">
      <w:pPr>
        <w:pStyle w:val="af5"/>
        <w:numPr>
          <w:ilvl w:val="0"/>
          <w:numId w:val="23"/>
        </w:numPr>
        <w:spacing w:before="120"/>
        <w:ind w:left="690" w:hanging="240"/>
        <w:rPr>
          <w:rFonts w:ascii="等线" w:eastAsia="等线" w:hAnsi="Times New Roman"/>
          <w:color w:val="000000"/>
        </w:rPr>
      </w:pPr>
      <w:r w:rsidRPr="00E0747E">
        <w:rPr>
          <w:rFonts w:ascii="等线" w:eastAsia="等线" w:hAnsi="Times New Roman"/>
          <w:color w:val="000000"/>
        </w:rPr>
        <w:t>Mitsui Group on the global competition filing analysis for its acquisition of shares in Hong Kong-based Hongjing Holdings Limited, completing the filing in China and coordinating antitrust filings in multiple jurisdictions.</w:t>
      </w:r>
    </w:p>
    <w:p w14:paraId="285E3FF7" w14:textId="77777777" w:rsidR="00E0747E" w:rsidRDefault="00E0747E" w:rsidP="00E0747E">
      <w:pPr>
        <w:pStyle w:val="af5"/>
        <w:numPr>
          <w:ilvl w:val="0"/>
          <w:numId w:val="24"/>
        </w:numPr>
        <w:spacing w:before="120"/>
        <w:ind w:left="690" w:hanging="240"/>
        <w:rPr>
          <w:rFonts w:ascii="等线" w:eastAsia="等线" w:hAnsi="Times New Roman"/>
          <w:color w:val="000000"/>
        </w:rPr>
      </w:pPr>
      <w:r w:rsidRPr="00E0747E">
        <w:rPr>
          <w:rFonts w:ascii="等线" w:eastAsia="等线" w:hAnsi="Times New Roman"/>
          <w:color w:val="000000"/>
        </w:rPr>
        <w:t>TCL Technology Group Corporation on the global competition filing analysis for its acquisition of Moka International, coordinating antitrust filings in multiple jurisdictions.</w:t>
      </w:r>
    </w:p>
    <w:p w14:paraId="141F7391" w14:textId="77777777" w:rsidR="00E0747E" w:rsidRDefault="00E0747E" w:rsidP="00E0747E">
      <w:pPr>
        <w:pStyle w:val="af5"/>
        <w:numPr>
          <w:ilvl w:val="0"/>
          <w:numId w:val="25"/>
        </w:numPr>
        <w:spacing w:before="120"/>
        <w:ind w:left="690" w:hanging="240"/>
        <w:rPr>
          <w:rFonts w:ascii="等线" w:eastAsia="等线" w:hAnsi="Times New Roman"/>
          <w:color w:val="000000"/>
        </w:rPr>
      </w:pPr>
      <w:r w:rsidRPr="00E0747E">
        <w:rPr>
          <w:rFonts w:ascii="等线" w:eastAsia="等线" w:hAnsi="Times New Roman"/>
          <w:color w:val="000000"/>
        </w:rPr>
        <w:t>Baowu Group's subsidiary Taiyuan Iron and Steel Co., Ltd. on the competition filing in China and multi-jurisdictional antitrust analysis for its nickel-iron joint venture with Vale in Indonesia.</w:t>
      </w:r>
    </w:p>
    <w:p w14:paraId="2ECD129D" w14:textId="77777777" w:rsidR="00E0747E" w:rsidRDefault="00E0747E" w:rsidP="00E0747E">
      <w:pPr>
        <w:pStyle w:val="af5"/>
        <w:numPr>
          <w:ilvl w:val="0"/>
          <w:numId w:val="26"/>
        </w:numPr>
        <w:spacing w:before="120"/>
        <w:ind w:left="690" w:hanging="240"/>
        <w:rPr>
          <w:rFonts w:ascii="等线" w:eastAsia="等线" w:hAnsi="Times New Roman"/>
          <w:color w:val="000000"/>
        </w:rPr>
      </w:pPr>
      <w:r w:rsidRPr="00E0747E">
        <w:rPr>
          <w:rFonts w:ascii="等线" w:eastAsia="等线" w:hAnsi="Times New Roman"/>
          <w:color w:val="000000"/>
        </w:rPr>
        <w:t>TCL Technology Group Corporation and its subsidiary TCL China Star Optoelectronics Technology Co., Ltd. on the global competition filing analysis for its acquisition of a Samsung Display subsidiary, completing the filing in China and coordinating antitrust filings in multiple jurisdictions.</w:t>
      </w:r>
    </w:p>
    <w:p w14:paraId="0B166E1D" w14:textId="77777777" w:rsidR="00E0747E" w:rsidRDefault="00E0747E" w:rsidP="00E0747E">
      <w:pPr>
        <w:pStyle w:val="af5"/>
        <w:spacing w:before="120"/>
        <w:rPr>
          <w:rFonts w:ascii="等线" w:eastAsia="等线" w:hAnsi="Times New Roman"/>
          <w:color w:val="000000"/>
        </w:rPr>
      </w:pPr>
      <w:r w:rsidRPr="00E0747E">
        <w:rPr>
          <w:rFonts w:ascii="等线" w:eastAsia="等线" w:hAnsi="Times New Roman"/>
          <w:color w:val="000000"/>
        </w:rPr>
        <w:t>Hong Kong merger control</w:t>
      </w:r>
    </w:p>
    <w:p w14:paraId="5236390F" w14:textId="77777777" w:rsidR="00E0747E" w:rsidRDefault="00E0747E" w:rsidP="00E0747E">
      <w:pPr>
        <w:pStyle w:val="af5"/>
        <w:numPr>
          <w:ilvl w:val="0"/>
          <w:numId w:val="27"/>
        </w:numPr>
        <w:spacing w:before="120"/>
        <w:ind w:left="690" w:hanging="240"/>
        <w:rPr>
          <w:rFonts w:ascii="等线" w:eastAsia="等线" w:hAnsi="Times New Roman"/>
          <w:color w:val="000000"/>
        </w:rPr>
      </w:pPr>
      <w:r w:rsidRPr="00E0747E">
        <w:rPr>
          <w:rFonts w:ascii="等线" w:eastAsia="等线" w:hAnsi="Times New Roman"/>
          <w:color w:val="000000"/>
        </w:rPr>
        <w:t>Hutchison Telecoms on merger control in Hong Kong for its sale of Hutchison Global Communications to private equity firms.</w:t>
      </w:r>
    </w:p>
    <w:p w14:paraId="73937726" w14:textId="77777777" w:rsidR="00E0747E" w:rsidRDefault="00E0747E" w:rsidP="00E0747E">
      <w:pPr>
        <w:pStyle w:val="af5"/>
        <w:numPr>
          <w:ilvl w:val="0"/>
          <w:numId w:val="28"/>
        </w:numPr>
        <w:spacing w:before="120"/>
        <w:ind w:left="690" w:hanging="240"/>
        <w:rPr>
          <w:rFonts w:ascii="等线" w:eastAsia="等线" w:hAnsi="Times New Roman"/>
          <w:color w:val="000000"/>
        </w:rPr>
      </w:pPr>
      <w:r w:rsidRPr="00E0747E">
        <w:rPr>
          <w:rFonts w:ascii="等线" w:eastAsia="等线" w:hAnsi="Times New Roman"/>
          <w:color w:val="000000"/>
        </w:rPr>
        <w:t>New World Group on merger control in Hong Kong for its sale of New World Telecoms to Hong Kong Broadband.</w:t>
      </w:r>
    </w:p>
    <w:p w14:paraId="1F557E27" w14:textId="77777777" w:rsidR="00E0747E" w:rsidRDefault="00E0747E" w:rsidP="00E0747E">
      <w:pPr>
        <w:pStyle w:val="af5"/>
        <w:spacing w:before="120"/>
        <w:rPr>
          <w:rFonts w:ascii="等线" w:eastAsia="等线" w:hAnsi="Times New Roman"/>
          <w:color w:val="000000"/>
        </w:rPr>
      </w:pPr>
      <w:r w:rsidRPr="00E0747E">
        <w:rPr>
          <w:rFonts w:ascii="等线" w:eastAsia="等线" w:hAnsi="Times New Roman"/>
          <w:color w:val="000000"/>
        </w:rPr>
        <w:t>Chinese investigations and compliance matters</w:t>
      </w:r>
    </w:p>
    <w:p w14:paraId="6F4C952A" w14:textId="77777777" w:rsidR="00E0747E" w:rsidRDefault="00E0747E" w:rsidP="00E0747E">
      <w:pPr>
        <w:pStyle w:val="af5"/>
        <w:numPr>
          <w:ilvl w:val="0"/>
          <w:numId w:val="29"/>
        </w:numPr>
        <w:spacing w:before="120"/>
        <w:ind w:left="690" w:hanging="240"/>
        <w:rPr>
          <w:rFonts w:ascii="等线" w:eastAsia="等线" w:hAnsi="Times New Roman"/>
          <w:color w:val="000000"/>
        </w:rPr>
      </w:pPr>
      <w:r w:rsidRPr="00E0747E">
        <w:rPr>
          <w:rFonts w:ascii="等线" w:eastAsia="等线" w:hAnsi="Times New Roman"/>
          <w:color w:val="000000"/>
        </w:rPr>
        <w:t>A major technology company on a series of failure-to-notify investigations initiated by China's State Administration of Market Regulation (</w:t>
      </w:r>
      <w:r w:rsidRPr="00E0747E">
        <w:rPr>
          <w:rFonts w:ascii="等线" w:eastAsia="等线" w:hAnsi="Times New Roman"/>
          <w:color w:val="000000"/>
        </w:rPr>
        <w:t>“</w:t>
      </w:r>
      <w:r w:rsidRPr="00E0747E">
        <w:rPr>
          <w:rFonts w:ascii="等线" w:eastAsia="等线" w:hAnsi="Times New Roman"/>
          <w:color w:val="000000"/>
        </w:rPr>
        <w:t>SAMR</w:t>
      </w:r>
      <w:r w:rsidRPr="00E0747E">
        <w:rPr>
          <w:rFonts w:ascii="等线" w:eastAsia="等线" w:hAnsi="Times New Roman"/>
          <w:color w:val="000000"/>
        </w:rPr>
        <w:t>”</w:t>
      </w:r>
      <w:r w:rsidRPr="00E0747E">
        <w:rPr>
          <w:rFonts w:ascii="等线" w:eastAsia="等线" w:hAnsi="Times New Roman"/>
          <w:color w:val="000000"/>
        </w:rPr>
        <w:t>)</w:t>
      </w:r>
    </w:p>
    <w:p w14:paraId="7FB990A1" w14:textId="77777777" w:rsidR="00E0747E" w:rsidRDefault="00E0747E" w:rsidP="00E0747E">
      <w:pPr>
        <w:pStyle w:val="af5"/>
        <w:numPr>
          <w:ilvl w:val="0"/>
          <w:numId w:val="30"/>
        </w:numPr>
        <w:spacing w:before="120"/>
        <w:ind w:left="690" w:hanging="240"/>
        <w:rPr>
          <w:rFonts w:ascii="等线" w:eastAsia="等线" w:hAnsi="Times New Roman"/>
          <w:color w:val="000000"/>
        </w:rPr>
      </w:pPr>
      <w:r w:rsidRPr="00E0747E">
        <w:rPr>
          <w:rFonts w:ascii="等线" w:eastAsia="等线" w:hAnsi="Times New Roman"/>
          <w:color w:val="000000"/>
        </w:rPr>
        <w:t>A leading international automobile manufacturer in an antitrust investigation relating to vertical restraints initiated by SAMR</w:t>
      </w:r>
    </w:p>
    <w:p w14:paraId="3396C83C" w14:textId="77777777" w:rsidR="00E0747E" w:rsidRDefault="00E0747E" w:rsidP="00E0747E">
      <w:pPr>
        <w:pStyle w:val="af5"/>
        <w:numPr>
          <w:ilvl w:val="0"/>
          <w:numId w:val="31"/>
        </w:numPr>
        <w:spacing w:before="120"/>
        <w:ind w:left="690" w:hanging="240"/>
        <w:rPr>
          <w:rFonts w:ascii="等线" w:eastAsia="等线" w:hAnsi="Times New Roman"/>
          <w:color w:val="000000"/>
        </w:rPr>
      </w:pPr>
      <w:r w:rsidRPr="00E0747E">
        <w:rPr>
          <w:rFonts w:ascii="等线" w:eastAsia="等线" w:hAnsi="Times New Roman"/>
          <w:color w:val="000000"/>
        </w:rPr>
        <w:t>A leading international automobile manufacturer in an antitrust investigation relating to resale price maintenance initiated by the Jiangsu Administration of Market Regulation</w:t>
      </w:r>
    </w:p>
    <w:p w14:paraId="2AEF63BC" w14:textId="77777777" w:rsidR="00E0747E" w:rsidRDefault="00E0747E" w:rsidP="00E0747E">
      <w:pPr>
        <w:pStyle w:val="af5"/>
        <w:numPr>
          <w:ilvl w:val="0"/>
          <w:numId w:val="32"/>
        </w:numPr>
        <w:spacing w:before="120"/>
        <w:ind w:left="690" w:hanging="240"/>
        <w:rPr>
          <w:rFonts w:ascii="等线" w:eastAsia="等线" w:hAnsi="Times New Roman"/>
          <w:color w:val="000000"/>
        </w:rPr>
      </w:pPr>
      <w:r w:rsidRPr="00E0747E">
        <w:rPr>
          <w:rFonts w:ascii="等线" w:eastAsia="等线" w:hAnsi="Times New Roman"/>
          <w:color w:val="000000"/>
        </w:rPr>
        <w:t>A multinational technology company in an investigation relating to alleged abuse of dominance initiated by the Beijing Administration of Market Regulation</w:t>
      </w:r>
    </w:p>
    <w:p w14:paraId="520E2338" w14:textId="77777777" w:rsidR="00E0747E" w:rsidRDefault="00E0747E" w:rsidP="00E0747E">
      <w:pPr>
        <w:pStyle w:val="af5"/>
        <w:numPr>
          <w:ilvl w:val="0"/>
          <w:numId w:val="33"/>
        </w:numPr>
        <w:spacing w:before="120"/>
        <w:ind w:left="690" w:hanging="240"/>
        <w:rPr>
          <w:rFonts w:ascii="等线" w:eastAsia="等线" w:hAnsi="Times New Roman"/>
          <w:color w:val="000000"/>
        </w:rPr>
      </w:pPr>
      <w:r w:rsidRPr="00E0747E">
        <w:rPr>
          <w:rFonts w:ascii="等线" w:eastAsia="等线" w:hAnsi="Times New Roman"/>
          <w:color w:val="000000"/>
        </w:rPr>
        <w:t>A leading multinational technology company in an internal investigation relating to alleged bid-rigging practices</w:t>
      </w:r>
    </w:p>
    <w:p w14:paraId="3605773A" w14:textId="77777777" w:rsidR="00E0747E" w:rsidRDefault="00E0747E" w:rsidP="00E0747E">
      <w:pPr>
        <w:pStyle w:val="af5"/>
        <w:spacing w:before="120"/>
        <w:rPr>
          <w:rFonts w:ascii="等线" w:eastAsia="等线" w:hAnsi="Times New Roman"/>
          <w:color w:val="000000"/>
        </w:rPr>
      </w:pPr>
      <w:r w:rsidRPr="00E0747E">
        <w:rPr>
          <w:rFonts w:ascii="等线" w:eastAsia="等线" w:hAnsi="Times New Roman"/>
          <w:color w:val="000000"/>
        </w:rPr>
        <w:t>Hong Kong investigations and compliance matters</w:t>
      </w:r>
    </w:p>
    <w:p w14:paraId="69045ADA" w14:textId="77777777" w:rsidR="00E0747E" w:rsidRDefault="00E0747E" w:rsidP="00E0747E">
      <w:pPr>
        <w:pStyle w:val="af5"/>
        <w:numPr>
          <w:ilvl w:val="0"/>
          <w:numId w:val="34"/>
        </w:numPr>
        <w:spacing w:before="120"/>
        <w:ind w:left="690" w:hanging="240"/>
        <w:rPr>
          <w:rFonts w:ascii="等线" w:eastAsia="等线" w:hAnsi="Times New Roman"/>
          <w:color w:val="000000"/>
        </w:rPr>
      </w:pPr>
      <w:r w:rsidRPr="00E0747E">
        <w:rPr>
          <w:rFonts w:ascii="等线" w:eastAsia="等线" w:hAnsi="Times New Roman"/>
          <w:color w:val="000000"/>
        </w:rPr>
        <w:t>Deliveroo in responding to an investigation by the Hong Kong Competition Commission (</w:t>
      </w:r>
      <w:r w:rsidRPr="00E0747E">
        <w:rPr>
          <w:rFonts w:ascii="等线" w:eastAsia="等线" w:hAnsi="Times New Roman"/>
          <w:color w:val="000000"/>
        </w:rPr>
        <w:t>“</w:t>
      </w:r>
      <w:r w:rsidRPr="00E0747E">
        <w:rPr>
          <w:rFonts w:ascii="等线" w:eastAsia="等线" w:hAnsi="Times New Roman"/>
          <w:color w:val="000000"/>
        </w:rPr>
        <w:t>HKCC</w:t>
      </w:r>
      <w:r w:rsidRPr="00E0747E">
        <w:rPr>
          <w:rFonts w:ascii="等线" w:eastAsia="等线" w:hAnsi="Times New Roman"/>
          <w:color w:val="000000"/>
        </w:rPr>
        <w:t>”</w:t>
      </w:r>
      <w:r w:rsidRPr="00E0747E">
        <w:rPr>
          <w:rFonts w:ascii="等线" w:eastAsia="等线" w:hAnsi="Times New Roman"/>
          <w:color w:val="000000"/>
        </w:rPr>
        <w:t>), negotiating the commitments, and handling subsequent compliance matters. This case is one of the most high-profile investigations handled by the HKCC</w:t>
      </w:r>
    </w:p>
    <w:p w14:paraId="0FE2F888" w14:textId="77777777" w:rsidR="00E0747E" w:rsidRDefault="00E0747E" w:rsidP="00E0747E">
      <w:pPr>
        <w:pStyle w:val="af5"/>
        <w:numPr>
          <w:ilvl w:val="0"/>
          <w:numId w:val="35"/>
        </w:numPr>
        <w:spacing w:before="120"/>
        <w:ind w:left="690" w:hanging="240"/>
        <w:rPr>
          <w:rFonts w:ascii="等线" w:eastAsia="等线" w:hAnsi="Times New Roman"/>
          <w:color w:val="000000"/>
        </w:rPr>
      </w:pPr>
      <w:r w:rsidRPr="00E0747E">
        <w:rPr>
          <w:rFonts w:ascii="等线" w:eastAsia="等线" w:hAnsi="Times New Roman"/>
          <w:color w:val="000000"/>
        </w:rPr>
        <w:t>A Chinese state-owned enterprise in responding to an investigation by the HKCC</w:t>
      </w:r>
    </w:p>
    <w:p w14:paraId="29806106" w14:textId="77777777" w:rsidR="00E0747E" w:rsidRDefault="00E0747E" w:rsidP="00E0747E">
      <w:pPr>
        <w:pStyle w:val="af5"/>
        <w:numPr>
          <w:ilvl w:val="0"/>
          <w:numId w:val="36"/>
        </w:numPr>
        <w:spacing w:before="120"/>
        <w:ind w:left="690" w:hanging="240"/>
        <w:rPr>
          <w:rFonts w:ascii="等线" w:eastAsia="等线" w:hAnsi="Times New Roman"/>
          <w:color w:val="000000"/>
        </w:rPr>
      </w:pPr>
      <w:r w:rsidRPr="00E0747E">
        <w:rPr>
          <w:rFonts w:ascii="等线" w:eastAsia="等线" w:hAnsi="Times New Roman"/>
          <w:color w:val="000000"/>
        </w:rPr>
        <w:t>A logistics company in responding to an investigation by the HKCC</w:t>
      </w:r>
    </w:p>
    <w:p w14:paraId="3EF49D8B" w14:textId="77777777" w:rsidR="00E0747E" w:rsidRDefault="00E0747E" w:rsidP="00E0747E">
      <w:pPr>
        <w:pStyle w:val="af5"/>
        <w:numPr>
          <w:ilvl w:val="0"/>
          <w:numId w:val="37"/>
        </w:numPr>
        <w:spacing w:before="120"/>
        <w:ind w:left="690" w:hanging="240"/>
        <w:rPr>
          <w:rFonts w:ascii="等线" w:eastAsia="等线" w:hAnsi="Times New Roman"/>
          <w:color w:val="000000"/>
        </w:rPr>
      </w:pPr>
      <w:r w:rsidRPr="00E0747E">
        <w:rPr>
          <w:rFonts w:ascii="等线" w:eastAsia="等线" w:hAnsi="Times New Roman"/>
          <w:color w:val="000000"/>
        </w:rPr>
        <w:t>The complainant in a complaint to the HKCC against a technology company for abuse of market power</w:t>
      </w:r>
    </w:p>
    <w:p w14:paraId="4EA194BE" w14:textId="77777777" w:rsidR="00E0747E" w:rsidRDefault="00E0747E" w:rsidP="00E0747E">
      <w:pPr>
        <w:pStyle w:val="af5"/>
        <w:numPr>
          <w:ilvl w:val="0"/>
          <w:numId w:val="38"/>
        </w:numPr>
        <w:spacing w:before="120"/>
        <w:ind w:left="690" w:hanging="240"/>
        <w:rPr>
          <w:rFonts w:ascii="等线" w:eastAsia="等线" w:hAnsi="Times New Roman"/>
          <w:color w:val="000000"/>
        </w:rPr>
      </w:pPr>
      <w:r w:rsidRPr="00E0747E">
        <w:rPr>
          <w:rFonts w:ascii="等线" w:eastAsia="等线" w:hAnsi="Times New Roman"/>
          <w:color w:val="000000"/>
        </w:rPr>
        <w:t>A leading oil and petrol business on its ongoing compliance matters</w:t>
      </w:r>
    </w:p>
    <w:p w14:paraId="2BF6455C" w14:textId="77777777" w:rsidR="00E0747E" w:rsidRDefault="00E0747E" w:rsidP="00E0747E">
      <w:pPr>
        <w:pStyle w:val="af5"/>
        <w:spacing w:before="120"/>
        <w:rPr>
          <w:rFonts w:ascii="等线" w:eastAsia="等线" w:hAnsi="Times New Roman"/>
          <w:color w:val="000000"/>
        </w:rPr>
      </w:pPr>
      <w:r w:rsidRPr="00E0747E">
        <w:rPr>
          <w:rFonts w:ascii="等线" w:eastAsia="等线" w:hAnsi="Times New Roman"/>
          <w:color w:val="000000"/>
        </w:rPr>
        <w:t>Global antitrust compliance</w:t>
      </w:r>
    </w:p>
    <w:p w14:paraId="7125192C" w14:textId="77777777" w:rsidR="00E0747E" w:rsidRDefault="00E0747E" w:rsidP="00E0747E">
      <w:pPr>
        <w:pStyle w:val="af5"/>
        <w:numPr>
          <w:ilvl w:val="0"/>
          <w:numId w:val="39"/>
        </w:numPr>
        <w:spacing w:before="120"/>
        <w:ind w:left="690" w:hanging="240"/>
        <w:rPr>
          <w:rFonts w:ascii="等线" w:eastAsia="等线" w:hAnsi="Times New Roman"/>
          <w:color w:val="000000"/>
        </w:rPr>
      </w:pPr>
      <w:r w:rsidRPr="00E0747E">
        <w:rPr>
          <w:rFonts w:ascii="等线" w:eastAsia="等线" w:hAnsi="Times New Roman"/>
          <w:color w:val="000000"/>
        </w:rPr>
        <w:t>Advising a leading automobile company on its antitrust compliance program review, training, and audit in Australia;</w:t>
      </w:r>
    </w:p>
    <w:p w14:paraId="731439C8" w14:textId="77777777" w:rsidR="00E0747E" w:rsidRDefault="00E0747E" w:rsidP="00E0747E">
      <w:pPr>
        <w:pStyle w:val="af5"/>
        <w:numPr>
          <w:ilvl w:val="0"/>
          <w:numId w:val="40"/>
        </w:numPr>
        <w:spacing w:before="120"/>
        <w:ind w:left="690" w:hanging="240"/>
        <w:rPr>
          <w:rFonts w:ascii="等线" w:eastAsia="等线" w:hAnsi="Times New Roman"/>
          <w:color w:val="000000"/>
        </w:rPr>
      </w:pPr>
      <w:r w:rsidRPr="00E0747E">
        <w:rPr>
          <w:rFonts w:ascii="等线" w:eastAsia="等线" w:hAnsi="Times New Roman"/>
          <w:color w:val="000000"/>
        </w:rPr>
        <w:t>Providing antitrust training to a leading airline across multiple jurisdictions worldwide.</w:t>
      </w:r>
    </w:p>
    <w:p w14:paraId="71E7B9FE" w14:textId="77777777" w:rsidR="00E0747E" w:rsidRDefault="00E0747E" w:rsidP="00E0747E">
      <w:pPr>
        <w:pStyle w:val="af5"/>
        <w:spacing w:after="0" w:line="480" w:lineRule="auto"/>
        <w:rPr>
          <w:rFonts w:ascii="等线" w:eastAsia="等线" w:hAnsi="等线"/>
          <w:b/>
          <w:sz w:val="24"/>
        </w:rPr>
      </w:pPr>
      <w:r w:rsidRPr="00E0747E">
        <w:rPr>
          <w:rFonts w:ascii="等线" w:eastAsia="等线" w:hAnsi="等线"/>
          <w:b/>
          <w:sz w:val="24"/>
        </w:rPr>
        <w:t>Education</w:t>
      </w:r>
    </w:p>
    <w:p w14:paraId="26C21C97" w14:textId="77777777" w:rsidR="00E0747E" w:rsidRDefault="00E0747E" w:rsidP="00E0747E">
      <w:pPr>
        <w:pStyle w:val="af5"/>
        <w:numPr>
          <w:ilvl w:val="0"/>
          <w:numId w:val="41"/>
        </w:numPr>
        <w:spacing w:before="120"/>
        <w:ind w:left="690" w:hanging="240"/>
        <w:rPr>
          <w:rFonts w:ascii="等线" w:eastAsia="等线" w:hAnsi="Times New Roman"/>
          <w:color w:val="000000"/>
        </w:rPr>
      </w:pPr>
      <w:r w:rsidRPr="00E0747E">
        <w:rPr>
          <w:rFonts w:ascii="等线" w:eastAsia="等线" w:hAnsi="Times New Roman"/>
          <w:color w:val="000000"/>
        </w:rPr>
        <w:t>University of Oxford, MA</w:t>
      </w:r>
    </w:p>
    <w:p w14:paraId="019055FE" w14:textId="77777777" w:rsidR="00E0747E" w:rsidRDefault="00E0747E" w:rsidP="00E0747E">
      <w:pPr>
        <w:pStyle w:val="af5"/>
        <w:numPr>
          <w:ilvl w:val="0"/>
          <w:numId w:val="42"/>
        </w:numPr>
        <w:spacing w:before="120"/>
        <w:ind w:left="690" w:hanging="240"/>
        <w:rPr>
          <w:rFonts w:ascii="等线" w:eastAsia="等线" w:hAnsi="Times New Roman"/>
          <w:color w:val="000000"/>
        </w:rPr>
      </w:pPr>
      <w:r w:rsidRPr="00E0747E">
        <w:rPr>
          <w:rFonts w:ascii="等线" w:eastAsia="等线" w:hAnsi="Times New Roman"/>
          <w:color w:val="000000"/>
        </w:rPr>
        <w:t>BPP Law School (UK), Graduate Diploma in Laws</w:t>
      </w:r>
    </w:p>
    <w:p w14:paraId="002E31FE" w14:textId="77777777" w:rsidR="00E0747E" w:rsidRDefault="00E0747E" w:rsidP="00E0747E">
      <w:pPr>
        <w:pStyle w:val="af5"/>
        <w:numPr>
          <w:ilvl w:val="0"/>
          <w:numId w:val="43"/>
        </w:numPr>
        <w:spacing w:before="120"/>
        <w:ind w:left="690" w:hanging="240"/>
        <w:rPr>
          <w:rFonts w:ascii="等线" w:eastAsia="等线" w:hAnsi="Times New Roman"/>
          <w:color w:val="000000"/>
        </w:rPr>
      </w:pPr>
      <w:r w:rsidRPr="00E0747E">
        <w:rPr>
          <w:rFonts w:ascii="等线" w:eastAsia="等线" w:hAnsi="Times New Roman"/>
          <w:color w:val="000000"/>
        </w:rPr>
        <w:t>City University of Hong Kong , PCLL</w:t>
      </w:r>
    </w:p>
    <w:p w14:paraId="0D9ABB13" w14:textId="77777777" w:rsidR="00E0747E" w:rsidRDefault="00E0747E" w:rsidP="00E0747E">
      <w:pPr>
        <w:pStyle w:val="af5"/>
        <w:spacing w:after="0" w:line="480" w:lineRule="auto"/>
        <w:rPr>
          <w:rFonts w:ascii="等线" w:eastAsia="等线" w:hAnsi="等线"/>
          <w:b/>
          <w:sz w:val="24"/>
        </w:rPr>
      </w:pPr>
      <w:r w:rsidRPr="00E0747E">
        <w:rPr>
          <w:rFonts w:ascii="等线" w:eastAsia="等线" w:hAnsi="等线"/>
          <w:b/>
          <w:sz w:val="24"/>
        </w:rPr>
        <w:t>Professional Qualification</w:t>
      </w:r>
    </w:p>
    <w:p w14:paraId="49724175" w14:textId="77777777" w:rsidR="00E0747E" w:rsidRDefault="00E0747E" w:rsidP="00E0747E">
      <w:pPr>
        <w:pStyle w:val="af5"/>
        <w:numPr>
          <w:ilvl w:val="0"/>
          <w:numId w:val="44"/>
        </w:numPr>
        <w:spacing w:before="120"/>
        <w:ind w:left="690" w:hanging="240"/>
        <w:rPr>
          <w:rFonts w:ascii="等线" w:eastAsia="等线" w:hAnsi="Times New Roman"/>
          <w:color w:val="000000"/>
        </w:rPr>
      </w:pPr>
      <w:r w:rsidRPr="00E0747E">
        <w:rPr>
          <w:rFonts w:ascii="等线" w:eastAsia="等线" w:hAnsi="Times New Roman"/>
          <w:color w:val="000000"/>
        </w:rPr>
        <w:t>Admitted to practice in Hong Kong SAR</w:t>
      </w:r>
    </w:p>
    <w:p w14:paraId="72015CBD" w14:textId="77777777" w:rsidR="00E0747E" w:rsidRDefault="00E0747E" w:rsidP="00E0747E">
      <w:pPr>
        <w:pStyle w:val="af5"/>
        <w:numPr>
          <w:ilvl w:val="0"/>
          <w:numId w:val="45"/>
        </w:numPr>
        <w:spacing w:before="120"/>
        <w:ind w:left="690" w:hanging="240"/>
        <w:rPr>
          <w:rFonts w:ascii="等线" w:eastAsia="等线" w:hAnsi="Times New Roman"/>
          <w:color w:val="000000"/>
        </w:rPr>
      </w:pPr>
      <w:r w:rsidRPr="00E0747E">
        <w:rPr>
          <w:rFonts w:ascii="等线" w:eastAsia="等线" w:hAnsi="Times New Roman"/>
          <w:color w:val="000000"/>
        </w:rPr>
        <w:t>Admitted to practice in New South Wales</w:t>
      </w:r>
    </w:p>
    <w:p w14:paraId="75D4EA5F" w14:textId="77777777" w:rsidR="00E0747E" w:rsidRDefault="00E0747E" w:rsidP="00E0747E">
      <w:pPr>
        <w:pStyle w:val="af5"/>
        <w:spacing w:after="0" w:line="480" w:lineRule="auto"/>
        <w:rPr>
          <w:rFonts w:ascii="等线" w:eastAsia="等线" w:hAnsi="等线"/>
          <w:b/>
          <w:sz w:val="24"/>
        </w:rPr>
      </w:pPr>
      <w:r w:rsidRPr="00E0747E">
        <w:rPr>
          <w:rFonts w:ascii="等线" w:eastAsia="等线" w:hAnsi="等线"/>
          <w:b/>
          <w:sz w:val="24"/>
        </w:rPr>
        <w:t>Work Language</w:t>
      </w:r>
    </w:p>
    <w:p w14:paraId="478F9489" w14:textId="77777777" w:rsidR="00E0747E" w:rsidRDefault="00E0747E" w:rsidP="00E0747E">
      <w:pPr>
        <w:pStyle w:val="af5"/>
        <w:numPr>
          <w:ilvl w:val="0"/>
          <w:numId w:val="46"/>
        </w:numPr>
        <w:spacing w:before="120"/>
        <w:ind w:left="690" w:hanging="240"/>
        <w:rPr>
          <w:rFonts w:ascii="等线" w:eastAsia="等线" w:hAnsi="Times New Roman"/>
          <w:color w:val="000000"/>
        </w:rPr>
      </w:pPr>
      <w:r w:rsidRPr="00E0747E">
        <w:rPr>
          <w:rFonts w:ascii="等线" w:eastAsia="等线" w:hAnsi="Times New Roman"/>
          <w:color w:val="000000"/>
        </w:rPr>
        <w:t>English</w:t>
      </w:r>
    </w:p>
    <w:p w14:paraId="4CAB834F" w14:textId="77777777" w:rsidR="00E0747E" w:rsidRDefault="00E0747E" w:rsidP="00E0747E">
      <w:pPr>
        <w:pStyle w:val="af5"/>
        <w:numPr>
          <w:ilvl w:val="0"/>
          <w:numId w:val="47"/>
        </w:numPr>
        <w:spacing w:before="120"/>
        <w:ind w:left="690" w:hanging="240"/>
        <w:rPr>
          <w:rFonts w:ascii="等线" w:eastAsia="等线" w:hAnsi="Times New Roman"/>
          <w:color w:val="000000"/>
        </w:rPr>
      </w:pPr>
      <w:r w:rsidRPr="00E0747E">
        <w:rPr>
          <w:rFonts w:ascii="等线" w:eastAsia="等线" w:hAnsi="Times New Roman"/>
          <w:color w:val="000000"/>
        </w:rPr>
        <w:t>Cantonese</w:t>
      </w:r>
    </w:p>
    <w:p w14:paraId="4924AC2F" w14:textId="77777777" w:rsidR="00E0747E" w:rsidRDefault="00E0747E" w:rsidP="00E0747E">
      <w:pPr>
        <w:pStyle w:val="af5"/>
        <w:numPr>
          <w:ilvl w:val="0"/>
          <w:numId w:val="48"/>
        </w:numPr>
        <w:spacing w:before="120"/>
        <w:ind w:left="690" w:hanging="240"/>
        <w:rPr>
          <w:rFonts w:ascii="等线" w:eastAsia="等线" w:hAnsi="Times New Roman"/>
          <w:color w:val="000000"/>
        </w:rPr>
      </w:pPr>
      <w:r w:rsidRPr="00E0747E">
        <w:rPr>
          <w:rFonts w:ascii="等线" w:eastAsia="等线" w:hAnsi="Times New Roman"/>
          <w:color w:val="000000"/>
        </w:rPr>
        <w:t>Mandarin</w:t>
      </w:r>
    </w:p>
    <w:p w14:paraId="2EBE9B04" w14:textId="77777777" w:rsidR="00E0747E" w:rsidRDefault="00E0747E" w:rsidP="00E0747E">
      <w:pPr>
        <w:pStyle w:val="af5"/>
        <w:spacing w:after="0" w:line="480" w:lineRule="auto"/>
        <w:rPr>
          <w:rFonts w:ascii="等线" w:eastAsia="等线" w:hAnsi="等线"/>
          <w:b/>
          <w:sz w:val="24"/>
        </w:rPr>
      </w:pPr>
      <w:r w:rsidRPr="00E0747E">
        <w:rPr>
          <w:rFonts w:ascii="等线" w:eastAsia="等线" w:hAnsi="等线"/>
          <w:b/>
          <w:sz w:val="24"/>
        </w:rPr>
        <w:t>Professional Background</w:t>
      </w:r>
    </w:p>
    <w:p w14:paraId="5567FC3C" w14:textId="614DB69A" w:rsidR="00686369" w:rsidRPr="00E0747E" w:rsidRDefault="00E0747E" w:rsidP="00E0747E">
      <w:pPr>
        <w:pStyle w:val="af5"/>
        <w:numPr>
          <w:ilvl w:val="0"/>
          <w:numId w:val="49"/>
        </w:numPr>
        <w:spacing w:before="120"/>
        <w:ind w:left="690" w:hanging="240"/>
        <w:rPr>
          <w:rFonts w:ascii="等线" w:eastAsia="等线" w:hAnsi="Times New Roman"/>
          <w:color w:val="000000"/>
        </w:rPr>
      </w:pPr>
      <w:r w:rsidRPr="00E0747E">
        <w:rPr>
          <w:rFonts w:ascii="等线" w:eastAsia="等线" w:hAnsi="Times New Roman"/>
          <w:color w:val="000000"/>
        </w:rPr>
        <w:t>Ms. Wong joined Fangda Partners in 2019. Before joining Fangda, she worked in the antitrust department of a leading international law firm and as in-house counsel at Alibaba.</w:t>
      </w:r>
    </w:p>
    <w:sectPr w:rsidR="00686369" w:rsidRPr="00E0747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F2305"/>
    <w:multiLevelType w:val="singleLevel"/>
    <w:tmpl w:val="2F588E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7A6203"/>
    <w:multiLevelType w:val="singleLevel"/>
    <w:tmpl w:val="54ACCA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BC0A31"/>
    <w:multiLevelType w:val="singleLevel"/>
    <w:tmpl w:val="5D8080C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7330D3"/>
    <w:multiLevelType w:val="singleLevel"/>
    <w:tmpl w:val="FA287ED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814169"/>
    <w:multiLevelType w:val="singleLevel"/>
    <w:tmpl w:val="92D2080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FD3C46"/>
    <w:multiLevelType w:val="singleLevel"/>
    <w:tmpl w:val="C580610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2B3CFD"/>
    <w:multiLevelType w:val="singleLevel"/>
    <w:tmpl w:val="B0B214E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307B20"/>
    <w:multiLevelType w:val="singleLevel"/>
    <w:tmpl w:val="E63AD2E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0C5C0A"/>
    <w:multiLevelType w:val="singleLevel"/>
    <w:tmpl w:val="35AC83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5236A5"/>
    <w:multiLevelType w:val="singleLevel"/>
    <w:tmpl w:val="C3D8E2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B65651"/>
    <w:multiLevelType w:val="singleLevel"/>
    <w:tmpl w:val="AC5273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2D0EAA"/>
    <w:multiLevelType w:val="singleLevel"/>
    <w:tmpl w:val="31B8A8B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CC46DB"/>
    <w:multiLevelType w:val="singleLevel"/>
    <w:tmpl w:val="FAC4BC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EC17C4"/>
    <w:multiLevelType w:val="singleLevel"/>
    <w:tmpl w:val="BBD684F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0B1B47"/>
    <w:multiLevelType w:val="singleLevel"/>
    <w:tmpl w:val="56E2AFB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906961"/>
    <w:multiLevelType w:val="singleLevel"/>
    <w:tmpl w:val="8132CDB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B017E1"/>
    <w:multiLevelType w:val="singleLevel"/>
    <w:tmpl w:val="73DAE43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327408"/>
    <w:multiLevelType w:val="singleLevel"/>
    <w:tmpl w:val="E12C1AE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1715F3"/>
    <w:multiLevelType w:val="singleLevel"/>
    <w:tmpl w:val="756640E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F406D81"/>
    <w:multiLevelType w:val="singleLevel"/>
    <w:tmpl w:val="46CC821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FB43E3F"/>
    <w:multiLevelType w:val="singleLevel"/>
    <w:tmpl w:val="E2D0F30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2622C0"/>
    <w:multiLevelType w:val="singleLevel"/>
    <w:tmpl w:val="5D76E8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0E50D9"/>
    <w:multiLevelType w:val="singleLevel"/>
    <w:tmpl w:val="5784FE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4F1498"/>
    <w:multiLevelType w:val="singleLevel"/>
    <w:tmpl w:val="64E87F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BC75E6"/>
    <w:multiLevelType w:val="singleLevel"/>
    <w:tmpl w:val="E752F82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A77B32"/>
    <w:multiLevelType w:val="singleLevel"/>
    <w:tmpl w:val="BEC8935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9EC653E"/>
    <w:multiLevelType w:val="singleLevel"/>
    <w:tmpl w:val="6070FB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783EAF"/>
    <w:multiLevelType w:val="singleLevel"/>
    <w:tmpl w:val="EC96FB8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EF32224"/>
    <w:multiLevelType w:val="singleLevel"/>
    <w:tmpl w:val="F9C249A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6846FE"/>
    <w:multiLevelType w:val="singleLevel"/>
    <w:tmpl w:val="3F00695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9D4F2C"/>
    <w:multiLevelType w:val="singleLevel"/>
    <w:tmpl w:val="EDD0097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F44E8E"/>
    <w:multiLevelType w:val="singleLevel"/>
    <w:tmpl w:val="8EA00E8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511AC0"/>
    <w:multiLevelType w:val="singleLevel"/>
    <w:tmpl w:val="E8D6ED8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49F5634"/>
    <w:multiLevelType w:val="singleLevel"/>
    <w:tmpl w:val="6824B4C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4B33C3B"/>
    <w:multiLevelType w:val="singleLevel"/>
    <w:tmpl w:val="0F7A1EA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58E1A24"/>
    <w:multiLevelType w:val="singleLevel"/>
    <w:tmpl w:val="6CDE238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75B314F"/>
    <w:multiLevelType w:val="singleLevel"/>
    <w:tmpl w:val="FAC4BCB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8EA7262"/>
    <w:multiLevelType w:val="singleLevel"/>
    <w:tmpl w:val="B3E609F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B0A7ECC"/>
    <w:multiLevelType w:val="singleLevel"/>
    <w:tmpl w:val="8E666BB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BED0397"/>
    <w:multiLevelType w:val="singleLevel"/>
    <w:tmpl w:val="1CE85BA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4E51F28"/>
    <w:multiLevelType w:val="singleLevel"/>
    <w:tmpl w:val="53AC74A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B3C5D71"/>
    <w:multiLevelType w:val="singleLevel"/>
    <w:tmpl w:val="C4100E6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B691A24"/>
    <w:multiLevelType w:val="singleLevel"/>
    <w:tmpl w:val="23BA14A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CA20D15"/>
    <w:multiLevelType w:val="singleLevel"/>
    <w:tmpl w:val="CCCEB09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22C0E14"/>
    <w:multiLevelType w:val="singleLevel"/>
    <w:tmpl w:val="B4B8AA2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861213A"/>
    <w:multiLevelType w:val="singleLevel"/>
    <w:tmpl w:val="9DCC2D1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1F34E36"/>
    <w:multiLevelType w:val="singleLevel"/>
    <w:tmpl w:val="8F62085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D05DB7"/>
    <w:multiLevelType w:val="singleLevel"/>
    <w:tmpl w:val="0702533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B33225E"/>
    <w:multiLevelType w:val="singleLevel"/>
    <w:tmpl w:val="74682344"/>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22"/>
  </w:num>
  <w:num w:numId="3">
    <w:abstractNumId w:val="40"/>
  </w:num>
  <w:num w:numId="4">
    <w:abstractNumId w:val="35"/>
  </w:num>
  <w:num w:numId="5">
    <w:abstractNumId w:val="15"/>
  </w:num>
  <w:num w:numId="6">
    <w:abstractNumId w:val="6"/>
  </w:num>
  <w:num w:numId="7">
    <w:abstractNumId w:val="32"/>
  </w:num>
  <w:num w:numId="8">
    <w:abstractNumId w:val="8"/>
  </w:num>
  <w:num w:numId="9">
    <w:abstractNumId w:val="27"/>
  </w:num>
  <w:num w:numId="10">
    <w:abstractNumId w:val="3"/>
  </w:num>
  <w:num w:numId="11">
    <w:abstractNumId w:val="24"/>
  </w:num>
  <w:num w:numId="12">
    <w:abstractNumId w:val="0"/>
  </w:num>
  <w:num w:numId="13">
    <w:abstractNumId w:val="30"/>
  </w:num>
  <w:num w:numId="14">
    <w:abstractNumId w:val="43"/>
  </w:num>
  <w:num w:numId="15">
    <w:abstractNumId w:val="46"/>
  </w:num>
  <w:num w:numId="16">
    <w:abstractNumId w:val="20"/>
  </w:num>
  <w:num w:numId="17">
    <w:abstractNumId w:val="9"/>
  </w:num>
  <w:num w:numId="18">
    <w:abstractNumId w:val="10"/>
  </w:num>
  <w:num w:numId="19">
    <w:abstractNumId w:val="39"/>
  </w:num>
  <w:num w:numId="20">
    <w:abstractNumId w:val="41"/>
  </w:num>
  <w:num w:numId="21">
    <w:abstractNumId w:val="47"/>
  </w:num>
  <w:num w:numId="22">
    <w:abstractNumId w:val="19"/>
  </w:num>
  <w:num w:numId="23">
    <w:abstractNumId w:val="38"/>
  </w:num>
  <w:num w:numId="24">
    <w:abstractNumId w:val="1"/>
  </w:num>
  <w:num w:numId="25">
    <w:abstractNumId w:val="37"/>
  </w:num>
  <w:num w:numId="26">
    <w:abstractNumId w:val="45"/>
  </w:num>
  <w:num w:numId="27">
    <w:abstractNumId w:val="31"/>
  </w:num>
  <w:num w:numId="28">
    <w:abstractNumId w:val="17"/>
  </w:num>
  <w:num w:numId="29">
    <w:abstractNumId w:val="5"/>
  </w:num>
  <w:num w:numId="30">
    <w:abstractNumId w:val="26"/>
  </w:num>
  <w:num w:numId="31">
    <w:abstractNumId w:val="48"/>
  </w:num>
  <w:num w:numId="32">
    <w:abstractNumId w:val="13"/>
  </w:num>
  <w:num w:numId="33">
    <w:abstractNumId w:val="25"/>
  </w:num>
  <w:num w:numId="34">
    <w:abstractNumId w:val="42"/>
  </w:num>
  <w:num w:numId="35">
    <w:abstractNumId w:val="7"/>
  </w:num>
  <w:num w:numId="36">
    <w:abstractNumId w:val="23"/>
  </w:num>
  <w:num w:numId="37">
    <w:abstractNumId w:val="29"/>
  </w:num>
  <w:num w:numId="38">
    <w:abstractNumId w:val="33"/>
  </w:num>
  <w:num w:numId="39">
    <w:abstractNumId w:val="18"/>
  </w:num>
  <w:num w:numId="40">
    <w:abstractNumId w:val="11"/>
  </w:num>
  <w:num w:numId="41">
    <w:abstractNumId w:val="44"/>
  </w:num>
  <w:num w:numId="42">
    <w:abstractNumId w:val="16"/>
  </w:num>
  <w:num w:numId="43">
    <w:abstractNumId w:val="21"/>
  </w:num>
  <w:num w:numId="44">
    <w:abstractNumId w:val="28"/>
  </w:num>
  <w:num w:numId="45">
    <w:abstractNumId w:val="4"/>
  </w:num>
  <w:num w:numId="46">
    <w:abstractNumId w:val="34"/>
  </w:num>
  <w:num w:numId="47">
    <w:abstractNumId w:val="14"/>
  </w:num>
  <w:num w:numId="48">
    <w:abstractNumId w:val="36"/>
  </w:num>
  <w:num w:numId="49">
    <w:abstractNumId w:val="1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0747E"/>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0747E"/>
    <w:pPr>
      <w:spacing w:after="120"/>
    </w:pPr>
  </w:style>
  <w:style w:type="character" w:customStyle="1" w:styleId="af6">
    <w:name w:val="正文文本 字符"/>
    <w:basedOn w:val="a0"/>
    <w:link w:val="af5"/>
    <w:uiPriority w:val="99"/>
    <w:rsid w:val="00E0747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E9E1E-E953-47F1-8486-7F81F60ED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922</Words>
  <Characters>5258</Characters>
  <Application>Microsoft Office Word</Application>
  <DocSecurity>0</DocSecurity>
  <Lines>43</Lines>
  <Paragraphs>12</Paragraphs>
  <ScaleCrop>false</ScaleCrop>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2026-07-16T12:01:00Z</dcterms:created>
  <dcterms:modified xsi:type="dcterms:W3CDTF">2026-07-16T12:01:00Z</dcterms:modified>
</cp:coreProperties>
</file>